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16569" w:rsidRPr="00033D4C" w14:paraId="2E1948F3" w14:textId="77777777" w:rsidTr="00EE6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vAlign w:val="center"/>
            <w:hideMark/>
          </w:tcPr>
          <w:p w14:paraId="4A7964B5" w14:textId="3FEB29AD" w:rsidR="00916569" w:rsidRPr="00916569" w:rsidRDefault="00916569" w:rsidP="005278C1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916569">
              <w:rPr>
                <w:rFonts w:cs="Arial"/>
                <w:color w:val="auto"/>
                <w:sz w:val="24"/>
                <w:szCs w:val="24"/>
              </w:rPr>
              <w:t xml:space="preserve">SMLOUVA O </w:t>
            </w:r>
            <w:r w:rsidR="00AD7398">
              <w:rPr>
                <w:rFonts w:cs="Arial"/>
                <w:color w:val="auto"/>
                <w:sz w:val="24"/>
                <w:szCs w:val="24"/>
              </w:rPr>
              <w:t>ÚVĚRU</w:t>
            </w:r>
          </w:p>
        </w:tc>
      </w:tr>
    </w:tbl>
    <w:p w14:paraId="1B1059E9" w14:textId="49473975" w:rsidR="00EE66E6" w:rsidRPr="00F36A80" w:rsidRDefault="00EE66E6" w:rsidP="00EE66E6">
      <w:pPr>
        <w:spacing w:before="240" w:line="288" w:lineRule="auto"/>
        <w:rPr>
          <w:rFonts w:cs="Arial"/>
          <w:szCs w:val="20"/>
        </w:rPr>
      </w:pPr>
      <w:bookmarkStart w:id="0" w:name="_Hlk67989290"/>
      <w:r>
        <w:rPr>
          <w:rFonts w:cs="Arial"/>
          <w:szCs w:val="20"/>
        </w:rPr>
        <w:t>Název</w:t>
      </w:r>
      <w:r w:rsidRPr="00F36A80">
        <w:rPr>
          <w:rFonts w:cs="Arial"/>
          <w:szCs w:val="20"/>
        </w:rPr>
        <w:t>:</w:t>
      </w:r>
      <w:r w:rsidRPr="00F36A80">
        <w:rPr>
          <w:rFonts w:cs="Arial"/>
          <w:b/>
          <w:szCs w:val="20"/>
        </w:rPr>
        <w:tab/>
      </w:r>
      <w:r w:rsidRPr="00F36A80">
        <w:rPr>
          <w:rFonts w:cs="Arial"/>
          <w:b/>
          <w:szCs w:val="20"/>
        </w:rPr>
        <w:tab/>
      </w:r>
      <w:r w:rsidRPr="00F36A80">
        <w:rPr>
          <w:rFonts w:cs="Arial"/>
          <w:b/>
          <w:szCs w:val="20"/>
        </w:rPr>
        <w:tab/>
      </w:r>
      <w:r w:rsidR="00841C3B">
        <w:rPr>
          <w:b/>
        </w:rPr>
        <w:t>[</w:t>
      </w:r>
      <w:r w:rsidR="00841C3B" w:rsidRPr="00841C3B">
        <w:rPr>
          <w:b/>
          <w:highlight w:val="yellow"/>
        </w:rPr>
        <w:t>DOPLNIT</w:t>
      </w:r>
      <w:r w:rsidR="00841C3B">
        <w:rPr>
          <w:b/>
        </w:rPr>
        <w:t>]</w:t>
      </w:r>
    </w:p>
    <w:p w14:paraId="5D560BFF" w14:textId="6C3AB933" w:rsidR="00EE66E6" w:rsidRPr="00C217F7" w:rsidRDefault="00EE66E6" w:rsidP="00C217F7">
      <w:pPr>
        <w:spacing w:line="288" w:lineRule="auto"/>
        <w:rPr>
          <w:szCs w:val="20"/>
        </w:rPr>
      </w:pPr>
      <w:r>
        <w:rPr>
          <w:rFonts w:cs="Arial"/>
          <w:szCs w:val="20"/>
        </w:rPr>
        <w:t>Sídlo</w:t>
      </w:r>
      <w:r w:rsidRPr="00F36A80">
        <w:rPr>
          <w:rFonts w:cs="Arial"/>
          <w:szCs w:val="20"/>
        </w:rPr>
        <w:t>:</w:t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="00841C3B">
        <w:rPr>
          <w:szCs w:val="20"/>
        </w:rPr>
        <w:t>[</w:t>
      </w:r>
      <w:r w:rsidR="00841C3B" w:rsidRPr="00841C3B">
        <w:rPr>
          <w:szCs w:val="20"/>
          <w:highlight w:val="yellow"/>
        </w:rPr>
        <w:t>DOPLNIT</w:t>
      </w:r>
      <w:r w:rsidR="00841C3B">
        <w:rPr>
          <w:szCs w:val="20"/>
        </w:rPr>
        <w:t>]</w:t>
      </w:r>
    </w:p>
    <w:p w14:paraId="491712FF" w14:textId="37F5A848" w:rsidR="00EE66E6" w:rsidRPr="00F36A80" w:rsidRDefault="00EE66E6" w:rsidP="00EE66E6">
      <w:pPr>
        <w:spacing w:line="288" w:lineRule="auto"/>
        <w:jc w:val="both"/>
        <w:rPr>
          <w:rFonts w:cs="Arial"/>
          <w:szCs w:val="20"/>
        </w:rPr>
      </w:pPr>
      <w:r w:rsidRPr="00F36A80">
        <w:rPr>
          <w:rFonts w:cs="Arial"/>
          <w:szCs w:val="20"/>
        </w:rPr>
        <w:t xml:space="preserve">IČO: </w:t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</w:p>
    <w:p w14:paraId="1540A6EB" w14:textId="5422450E" w:rsidR="00EE66E6" w:rsidRPr="00F36A80" w:rsidRDefault="00EE66E6" w:rsidP="00EE66E6">
      <w:pPr>
        <w:spacing w:line="288" w:lineRule="auto"/>
        <w:ind w:left="2124" w:hanging="2124"/>
        <w:jc w:val="both"/>
        <w:rPr>
          <w:rFonts w:cs="Arial"/>
          <w:szCs w:val="20"/>
        </w:rPr>
      </w:pPr>
      <w:r>
        <w:rPr>
          <w:rFonts w:cs="Arial"/>
          <w:szCs w:val="20"/>
        </w:rPr>
        <w:t>Zapsaná:</w:t>
      </w:r>
      <w:r>
        <w:rPr>
          <w:rFonts w:cs="Arial"/>
          <w:szCs w:val="20"/>
        </w:rPr>
        <w:tab/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</w:p>
    <w:p w14:paraId="6C503686" w14:textId="3D5333C2" w:rsidR="00EE66E6" w:rsidRPr="00F36A80" w:rsidRDefault="00EE66E6" w:rsidP="00EE66E6">
      <w:pPr>
        <w:spacing w:line="288" w:lineRule="auto"/>
        <w:jc w:val="both"/>
        <w:rPr>
          <w:rFonts w:cs="Arial"/>
          <w:szCs w:val="20"/>
        </w:rPr>
      </w:pPr>
      <w:r w:rsidRPr="00F36A80">
        <w:rPr>
          <w:rFonts w:cs="Arial"/>
          <w:szCs w:val="20"/>
        </w:rPr>
        <w:t>Zastoupená:</w:t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</w:p>
    <w:bookmarkEnd w:id="0"/>
    <w:p w14:paraId="5C489283" w14:textId="7CF05504" w:rsidR="00EE66E6" w:rsidRPr="00F36A80" w:rsidRDefault="00EE66E6" w:rsidP="00EE66E6">
      <w:pPr>
        <w:spacing w:before="60" w:line="288" w:lineRule="auto"/>
        <w:rPr>
          <w:rFonts w:cs="Arial"/>
          <w:szCs w:val="20"/>
        </w:rPr>
      </w:pPr>
      <w:r w:rsidRPr="00F36A80">
        <w:rPr>
          <w:rFonts w:cs="Arial"/>
          <w:szCs w:val="20"/>
        </w:rPr>
        <w:t>na straně jedné (dále jen „</w:t>
      </w:r>
      <w:r w:rsidR="00C217F7">
        <w:rPr>
          <w:rFonts w:cs="Arial"/>
          <w:b/>
          <w:szCs w:val="20"/>
        </w:rPr>
        <w:t>Úvěrující</w:t>
      </w:r>
      <w:r w:rsidRPr="00F36A80">
        <w:rPr>
          <w:rFonts w:cs="Arial"/>
          <w:szCs w:val="20"/>
        </w:rPr>
        <w:t>“)</w:t>
      </w:r>
    </w:p>
    <w:p w14:paraId="672991B7" w14:textId="77777777" w:rsidR="00EE66E6" w:rsidRPr="00F36A80" w:rsidRDefault="00EE66E6" w:rsidP="00EE66E6">
      <w:pPr>
        <w:spacing w:before="240" w:after="240" w:line="288" w:lineRule="auto"/>
        <w:rPr>
          <w:rFonts w:cs="Arial"/>
          <w:szCs w:val="20"/>
        </w:rPr>
      </w:pPr>
      <w:r w:rsidRPr="00F36A80">
        <w:rPr>
          <w:rFonts w:cs="Arial"/>
          <w:szCs w:val="20"/>
        </w:rPr>
        <w:t>- a -</w:t>
      </w:r>
    </w:p>
    <w:p w14:paraId="134A00DD" w14:textId="35C04690" w:rsidR="00AD7398" w:rsidRPr="00F36A80" w:rsidRDefault="00AD7398" w:rsidP="00AD7398">
      <w:pPr>
        <w:spacing w:before="240" w:line="288" w:lineRule="auto"/>
        <w:rPr>
          <w:rFonts w:cs="Arial"/>
          <w:szCs w:val="20"/>
        </w:rPr>
      </w:pPr>
      <w:bookmarkStart w:id="1" w:name="_Hlk67989427"/>
      <w:r>
        <w:rPr>
          <w:rFonts w:cs="Arial"/>
          <w:szCs w:val="20"/>
        </w:rPr>
        <w:t>Název</w:t>
      </w:r>
      <w:r w:rsidRPr="00F36A80">
        <w:rPr>
          <w:rFonts w:cs="Arial"/>
          <w:szCs w:val="20"/>
        </w:rPr>
        <w:t>:</w:t>
      </w:r>
      <w:r w:rsidRPr="00F36A80">
        <w:rPr>
          <w:rFonts w:cs="Arial"/>
          <w:b/>
          <w:szCs w:val="20"/>
        </w:rPr>
        <w:tab/>
      </w:r>
      <w:r w:rsidRPr="00F36A80">
        <w:rPr>
          <w:rFonts w:cs="Arial"/>
          <w:b/>
          <w:szCs w:val="20"/>
        </w:rPr>
        <w:tab/>
      </w:r>
      <w:r w:rsidRPr="00F36A80">
        <w:rPr>
          <w:rFonts w:cs="Arial"/>
          <w:b/>
          <w:szCs w:val="20"/>
        </w:rPr>
        <w:tab/>
      </w:r>
      <w:r w:rsidR="00841C3B">
        <w:rPr>
          <w:b/>
        </w:rPr>
        <w:t>[</w:t>
      </w:r>
      <w:r w:rsidR="00841C3B" w:rsidRPr="00841C3B">
        <w:rPr>
          <w:b/>
          <w:highlight w:val="yellow"/>
        </w:rPr>
        <w:t>DOPLNIT</w:t>
      </w:r>
      <w:r w:rsidR="00841C3B">
        <w:rPr>
          <w:b/>
        </w:rPr>
        <w:t>]</w:t>
      </w:r>
    </w:p>
    <w:p w14:paraId="190FE4B9" w14:textId="2C61A65B" w:rsidR="00AD7398" w:rsidRPr="00F36A80" w:rsidRDefault="00AD7398" w:rsidP="00AD7398">
      <w:pPr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>Sídlo</w:t>
      </w:r>
      <w:r w:rsidRPr="00F36A80">
        <w:rPr>
          <w:rFonts w:cs="Arial"/>
          <w:szCs w:val="20"/>
        </w:rPr>
        <w:t>:</w:t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="00841C3B">
        <w:rPr>
          <w:szCs w:val="20"/>
        </w:rPr>
        <w:t>[</w:t>
      </w:r>
      <w:r w:rsidR="00841C3B" w:rsidRPr="00841C3B">
        <w:rPr>
          <w:szCs w:val="20"/>
          <w:highlight w:val="yellow"/>
        </w:rPr>
        <w:t>DOPLNIT</w:t>
      </w:r>
      <w:r w:rsidR="00841C3B">
        <w:rPr>
          <w:szCs w:val="20"/>
        </w:rPr>
        <w:t>]</w:t>
      </w:r>
    </w:p>
    <w:p w14:paraId="11C6424C" w14:textId="5FE3B8AC" w:rsidR="00AD7398" w:rsidRPr="00F36A80" w:rsidRDefault="00AD7398" w:rsidP="00AD7398">
      <w:pPr>
        <w:spacing w:line="288" w:lineRule="auto"/>
        <w:jc w:val="both"/>
        <w:rPr>
          <w:rFonts w:cs="Arial"/>
          <w:szCs w:val="20"/>
        </w:rPr>
      </w:pPr>
      <w:r w:rsidRPr="00F36A80">
        <w:rPr>
          <w:rFonts w:cs="Arial"/>
          <w:szCs w:val="20"/>
        </w:rPr>
        <w:t xml:space="preserve">IČO: </w:t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</w:p>
    <w:p w14:paraId="7DEA1876" w14:textId="3E1FE92F" w:rsidR="00AD7398" w:rsidRPr="00F36A80" w:rsidRDefault="00AD7398" w:rsidP="00AD7398">
      <w:pPr>
        <w:spacing w:line="288" w:lineRule="auto"/>
        <w:ind w:left="2124" w:hanging="2124"/>
        <w:jc w:val="both"/>
        <w:rPr>
          <w:rFonts w:cs="Arial"/>
          <w:szCs w:val="20"/>
        </w:rPr>
      </w:pPr>
      <w:r>
        <w:rPr>
          <w:rFonts w:cs="Arial"/>
          <w:szCs w:val="20"/>
        </w:rPr>
        <w:t>Zapsaná:</w:t>
      </w:r>
      <w:r>
        <w:rPr>
          <w:rFonts w:cs="Arial"/>
          <w:szCs w:val="20"/>
        </w:rPr>
        <w:tab/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</w:p>
    <w:p w14:paraId="18B96DEE" w14:textId="2A2883AE" w:rsidR="00AD7398" w:rsidRPr="00F36A80" w:rsidRDefault="00AD7398" w:rsidP="00AD7398">
      <w:pPr>
        <w:spacing w:line="288" w:lineRule="auto"/>
        <w:jc w:val="both"/>
        <w:rPr>
          <w:rFonts w:cs="Arial"/>
          <w:szCs w:val="20"/>
        </w:rPr>
      </w:pPr>
      <w:r w:rsidRPr="00F36A80">
        <w:rPr>
          <w:rFonts w:cs="Arial"/>
          <w:szCs w:val="20"/>
        </w:rPr>
        <w:t>Zastoupená:</w:t>
      </w:r>
      <w:r w:rsidRPr="00F36A80">
        <w:rPr>
          <w:rFonts w:cs="Arial"/>
          <w:szCs w:val="20"/>
        </w:rPr>
        <w:tab/>
      </w:r>
      <w:r w:rsidRPr="00F36A80">
        <w:rPr>
          <w:rFonts w:cs="Arial"/>
          <w:szCs w:val="20"/>
        </w:rPr>
        <w:tab/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</w:p>
    <w:bookmarkEnd w:id="1"/>
    <w:p w14:paraId="01B37806" w14:textId="60E26C98" w:rsidR="00EE66E6" w:rsidRPr="00F36A80" w:rsidRDefault="00EE66E6" w:rsidP="00EE66E6">
      <w:pPr>
        <w:spacing w:after="120" w:line="288" w:lineRule="auto"/>
        <w:jc w:val="both"/>
        <w:rPr>
          <w:rFonts w:cs="Arial"/>
          <w:szCs w:val="20"/>
        </w:rPr>
      </w:pPr>
      <w:r w:rsidRPr="00F36A80">
        <w:rPr>
          <w:rFonts w:cs="Arial"/>
          <w:szCs w:val="20"/>
        </w:rPr>
        <w:t>na straně druhé (dále jen „</w:t>
      </w:r>
      <w:r w:rsidR="00AD7398">
        <w:rPr>
          <w:rFonts w:cs="Arial"/>
          <w:b/>
          <w:szCs w:val="20"/>
        </w:rPr>
        <w:t>Úvěrovaný</w:t>
      </w:r>
      <w:r w:rsidRPr="00F36A80">
        <w:rPr>
          <w:rFonts w:cs="Arial"/>
          <w:szCs w:val="20"/>
        </w:rPr>
        <w:t xml:space="preserve">“ a společně s </w:t>
      </w:r>
      <w:r w:rsidR="00AD7398">
        <w:rPr>
          <w:rFonts w:cs="Arial"/>
          <w:szCs w:val="20"/>
        </w:rPr>
        <w:t>Úvěrujícím</w:t>
      </w:r>
      <w:r w:rsidRPr="00F36A80">
        <w:rPr>
          <w:rFonts w:cs="Arial"/>
          <w:szCs w:val="20"/>
        </w:rPr>
        <w:t xml:space="preserve"> jen </w:t>
      </w:r>
      <w:r w:rsidRPr="00F36A80">
        <w:rPr>
          <w:rFonts w:cs="Arial"/>
          <w:b/>
          <w:szCs w:val="20"/>
        </w:rPr>
        <w:t>„Smluvní strany“</w:t>
      </w:r>
      <w:r w:rsidRPr="00F36A80">
        <w:rPr>
          <w:rFonts w:cs="Arial"/>
          <w:szCs w:val="20"/>
        </w:rPr>
        <w:t xml:space="preserve"> nebo jednotlivě </w:t>
      </w:r>
      <w:r w:rsidRPr="00F36A80">
        <w:rPr>
          <w:rFonts w:cs="Arial"/>
          <w:b/>
          <w:szCs w:val="20"/>
        </w:rPr>
        <w:t>„Smluvní strana“</w:t>
      </w:r>
      <w:r w:rsidRPr="00F36A80">
        <w:rPr>
          <w:rFonts w:cs="Arial"/>
          <w:szCs w:val="20"/>
        </w:rPr>
        <w:t xml:space="preserve">) </w:t>
      </w:r>
    </w:p>
    <w:p w14:paraId="5D10207F" w14:textId="77777777" w:rsidR="00EE66E6" w:rsidRPr="00F36A80" w:rsidRDefault="00EE66E6" w:rsidP="00EE66E6">
      <w:pPr>
        <w:spacing w:after="120" w:line="288" w:lineRule="auto"/>
        <w:jc w:val="both"/>
        <w:rPr>
          <w:rFonts w:eastAsia="Cambria" w:cs="Arial"/>
          <w:color w:val="FF0000"/>
          <w:szCs w:val="20"/>
        </w:rPr>
      </w:pPr>
    </w:p>
    <w:p w14:paraId="4EBB8952" w14:textId="572491A0" w:rsidR="00EE66E6" w:rsidRDefault="00EE66E6" w:rsidP="00EE66E6">
      <w:pPr>
        <w:spacing w:after="120" w:line="288" w:lineRule="auto"/>
        <w:jc w:val="both"/>
        <w:rPr>
          <w:rFonts w:cs="Arial"/>
          <w:szCs w:val="20"/>
        </w:rPr>
      </w:pPr>
      <w:r w:rsidRPr="00F36A80">
        <w:rPr>
          <w:rFonts w:eastAsia="Cambria" w:cs="Arial"/>
          <w:szCs w:val="20"/>
        </w:rPr>
        <w:t>Shora uvedené Smluvní strany uzavřely níže uvedeného dne, měsíce a roku</w:t>
      </w:r>
      <w:r w:rsidRPr="00F36A80">
        <w:rPr>
          <w:rFonts w:cs="Arial"/>
          <w:szCs w:val="20"/>
        </w:rPr>
        <w:t xml:space="preserve"> v souladu s § 239</w:t>
      </w:r>
      <w:r w:rsidR="00C217F7">
        <w:rPr>
          <w:rFonts w:cs="Arial"/>
          <w:szCs w:val="20"/>
        </w:rPr>
        <w:t>5</w:t>
      </w:r>
      <w:r w:rsidRPr="00F36A80">
        <w:rPr>
          <w:rFonts w:cs="Arial"/>
          <w:szCs w:val="20"/>
        </w:rPr>
        <w:t xml:space="preserve"> a násl. zákona č. 89/2012 Sb., občanský zákoník, ve znění pozdějších předpisů (dále jen </w:t>
      </w:r>
      <w:r w:rsidRPr="00F36A80">
        <w:rPr>
          <w:rFonts w:cs="Arial"/>
          <w:b/>
          <w:szCs w:val="20"/>
        </w:rPr>
        <w:t>„občanský zákoník“</w:t>
      </w:r>
      <w:r w:rsidRPr="00F36A80">
        <w:rPr>
          <w:rFonts w:cs="Arial"/>
          <w:szCs w:val="20"/>
        </w:rPr>
        <w:t xml:space="preserve">), </w:t>
      </w:r>
      <w:r w:rsidRPr="00F36A80">
        <w:rPr>
          <w:rFonts w:eastAsia="Cambria" w:cs="Arial"/>
          <w:szCs w:val="20"/>
        </w:rPr>
        <w:t xml:space="preserve">následující </w:t>
      </w:r>
      <w:r w:rsidRPr="00F36A80">
        <w:rPr>
          <w:rFonts w:cs="Arial"/>
          <w:szCs w:val="20"/>
        </w:rPr>
        <w:t xml:space="preserve">smlouvu o </w:t>
      </w:r>
      <w:r w:rsidR="00C217F7">
        <w:rPr>
          <w:rFonts w:cs="Arial"/>
          <w:szCs w:val="20"/>
        </w:rPr>
        <w:t>úvěru</w:t>
      </w:r>
      <w:r w:rsidRPr="00F36A80">
        <w:rPr>
          <w:rFonts w:cs="Arial"/>
          <w:szCs w:val="20"/>
        </w:rPr>
        <w:t xml:space="preserve"> (dále jen „</w:t>
      </w:r>
      <w:r w:rsidRPr="00F36A80">
        <w:rPr>
          <w:rFonts w:cs="Arial"/>
          <w:b/>
          <w:szCs w:val="20"/>
        </w:rPr>
        <w:t>Smlouva</w:t>
      </w:r>
      <w:r w:rsidRPr="00F36A80">
        <w:rPr>
          <w:rFonts w:cs="Arial"/>
          <w:szCs w:val="20"/>
        </w:rPr>
        <w:t>“):</w:t>
      </w:r>
    </w:p>
    <w:p w14:paraId="0B8FEFD3" w14:textId="77777777" w:rsidR="00EE66E6" w:rsidRPr="00F36A80" w:rsidRDefault="00EE66E6" w:rsidP="00EE66E6">
      <w:pPr>
        <w:spacing w:after="120" w:line="288" w:lineRule="auto"/>
        <w:jc w:val="both"/>
        <w:rPr>
          <w:rFonts w:cs="Arial"/>
          <w:szCs w:val="20"/>
        </w:rPr>
      </w:pPr>
    </w:p>
    <w:p w14:paraId="2BF02DBF" w14:textId="77777777" w:rsidR="00EE66E6" w:rsidRPr="002A1498" w:rsidRDefault="00EE66E6" w:rsidP="00EE66E6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rPr>
          <w:rFonts w:cs="Arial"/>
          <w:b/>
          <w:caps/>
          <w:szCs w:val="20"/>
        </w:rPr>
      </w:pPr>
      <w:r w:rsidRPr="002A1498">
        <w:rPr>
          <w:rFonts w:cs="Arial"/>
          <w:b/>
          <w:caps/>
          <w:szCs w:val="20"/>
        </w:rPr>
        <w:t>Předmět Smlouvy</w:t>
      </w:r>
    </w:p>
    <w:p w14:paraId="7C356B0B" w14:textId="75B2E938" w:rsidR="00C217F7" w:rsidRDefault="00C217F7" w:rsidP="002E5D02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>Úvěrující prohlašuje, že poskytování úvěrů není předmětem jeho podnikání a poskytnutí úvěru dle</w:t>
      </w:r>
      <w:r w:rsidR="00D34E67">
        <w:rPr>
          <w:rFonts w:cs="Arial"/>
          <w:szCs w:val="20"/>
        </w:rPr>
        <w:t> </w:t>
      </w:r>
      <w:r>
        <w:rPr>
          <w:rFonts w:cs="Arial"/>
          <w:szCs w:val="20"/>
        </w:rPr>
        <w:t>této Smlouvy je jednorázové.</w:t>
      </w:r>
    </w:p>
    <w:p w14:paraId="74B6AEEB" w14:textId="30AE8E03" w:rsidR="00D34E67" w:rsidRDefault="00C217F7" w:rsidP="00D34E67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Úvěrující se zavazuje </w:t>
      </w:r>
      <w:r w:rsidR="00EE66E6" w:rsidRPr="002A1498">
        <w:rPr>
          <w:rFonts w:cs="Arial"/>
          <w:szCs w:val="20"/>
        </w:rPr>
        <w:t>na základě této Smlouvy</w:t>
      </w:r>
      <w:r>
        <w:rPr>
          <w:rFonts w:cs="Arial"/>
          <w:szCs w:val="20"/>
        </w:rPr>
        <w:t xml:space="preserve"> a Žádostí o čerpání </w:t>
      </w:r>
      <w:r w:rsidR="00541F29">
        <w:rPr>
          <w:rFonts w:cs="Arial"/>
          <w:szCs w:val="20"/>
        </w:rPr>
        <w:t>poskytnout</w:t>
      </w:r>
      <w:r w:rsidR="00D34E67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Úvěrovanému na jeho žádost peněžní prostředky </w:t>
      </w:r>
      <w:r w:rsidR="00D34E67">
        <w:rPr>
          <w:rFonts w:cs="Arial"/>
          <w:szCs w:val="20"/>
        </w:rPr>
        <w:t>formou úvěru až do celkové částky </w:t>
      </w:r>
      <w:r w:rsidR="00F703BD">
        <w:rPr>
          <w:rFonts w:cs="Arial"/>
          <w:szCs w:val="20"/>
        </w:rPr>
        <w:t xml:space="preserve">ve výši </w:t>
      </w:r>
      <w:bookmarkStart w:id="2" w:name="_Hlk67926701"/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  <w:r w:rsidR="00D34E67" w:rsidRPr="00D34E67">
        <w:rPr>
          <w:rFonts w:cs="Arial"/>
          <w:b/>
          <w:bCs/>
          <w:szCs w:val="20"/>
        </w:rPr>
        <w:t>,-</w:t>
      </w:r>
      <w:r w:rsidR="00D34E67">
        <w:rPr>
          <w:rFonts w:cs="Arial"/>
          <w:szCs w:val="20"/>
        </w:rPr>
        <w:t xml:space="preserve"> </w:t>
      </w:r>
      <w:r w:rsidR="00D34E67" w:rsidRPr="00D34E67">
        <w:rPr>
          <w:rFonts w:cs="Arial"/>
          <w:b/>
          <w:bCs/>
          <w:szCs w:val="20"/>
        </w:rPr>
        <w:t>Kč</w:t>
      </w:r>
      <w:r w:rsidR="00D34E67">
        <w:rPr>
          <w:rFonts w:cs="Arial"/>
          <w:szCs w:val="20"/>
        </w:rPr>
        <w:t xml:space="preserve"> </w:t>
      </w:r>
      <w:r w:rsidR="00EE66E6" w:rsidRPr="002A1498">
        <w:rPr>
          <w:rFonts w:cs="Arial"/>
          <w:szCs w:val="20"/>
        </w:rPr>
        <w:t>(dále jen „</w:t>
      </w:r>
      <w:r w:rsidR="00D34E67" w:rsidRPr="00D34E67">
        <w:rPr>
          <w:rFonts w:cs="Arial"/>
          <w:b/>
          <w:bCs/>
          <w:szCs w:val="20"/>
        </w:rPr>
        <w:t>Úvěr</w:t>
      </w:r>
      <w:r w:rsidR="00EE66E6" w:rsidRPr="002A1498">
        <w:rPr>
          <w:rFonts w:cs="Arial"/>
          <w:szCs w:val="20"/>
        </w:rPr>
        <w:t>“)</w:t>
      </w:r>
      <w:bookmarkEnd w:id="2"/>
      <w:r w:rsidR="00EE66E6" w:rsidRPr="002A1498">
        <w:rPr>
          <w:rFonts w:cs="Arial"/>
          <w:szCs w:val="20"/>
        </w:rPr>
        <w:t>.</w:t>
      </w:r>
    </w:p>
    <w:p w14:paraId="66C5076D" w14:textId="716FFECB" w:rsidR="00910777" w:rsidRDefault="00910777" w:rsidP="00910777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 w:rsidRPr="00854244">
        <w:rPr>
          <w:rFonts w:cs="Arial"/>
          <w:szCs w:val="20"/>
        </w:rPr>
        <w:t xml:space="preserve">Úvěrovaný je oprávněn čerpat </w:t>
      </w:r>
      <w:r>
        <w:rPr>
          <w:rFonts w:cs="Arial"/>
          <w:szCs w:val="20"/>
        </w:rPr>
        <w:t>Ú</w:t>
      </w:r>
      <w:r w:rsidRPr="00854244">
        <w:rPr>
          <w:rFonts w:cs="Arial"/>
          <w:szCs w:val="20"/>
        </w:rPr>
        <w:t xml:space="preserve">věr na základě této Smlouvy a </w:t>
      </w:r>
      <w:r>
        <w:rPr>
          <w:rFonts w:cs="Arial"/>
          <w:szCs w:val="20"/>
        </w:rPr>
        <w:t>ž</w:t>
      </w:r>
      <w:r w:rsidRPr="00854244">
        <w:rPr>
          <w:rFonts w:cs="Arial"/>
          <w:szCs w:val="20"/>
        </w:rPr>
        <w:t>ádost</w:t>
      </w:r>
      <w:r>
        <w:rPr>
          <w:rFonts w:cs="Arial"/>
          <w:szCs w:val="20"/>
        </w:rPr>
        <w:t>i</w:t>
      </w:r>
      <w:r w:rsidRPr="00854244">
        <w:rPr>
          <w:rFonts w:cs="Arial"/>
          <w:szCs w:val="20"/>
        </w:rPr>
        <w:t xml:space="preserve"> o čerpání </w:t>
      </w:r>
      <w:r>
        <w:rPr>
          <w:rFonts w:cs="Arial"/>
          <w:szCs w:val="20"/>
        </w:rPr>
        <w:t xml:space="preserve">jednorázově </w:t>
      </w:r>
      <w:r w:rsidRPr="00854244">
        <w:rPr>
          <w:rFonts w:cs="Arial"/>
          <w:szCs w:val="20"/>
        </w:rPr>
        <w:t>až</w:t>
      </w:r>
      <w:r>
        <w:rPr>
          <w:rFonts w:cs="Arial"/>
          <w:szCs w:val="20"/>
        </w:rPr>
        <w:t> </w:t>
      </w:r>
      <w:r w:rsidRPr="00854244">
        <w:rPr>
          <w:rFonts w:cs="Arial"/>
          <w:szCs w:val="20"/>
        </w:rPr>
        <w:t>do</w:t>
      </w:r>
      <w:r>
        <w:rPr>
          <w:rFonts w:cs="Arial"/>
          <w:szCs w:val="20"/>
        </w:rPr>
        <w:t> </w:t>
      </w:r>
      <w:r w:rsidRPr="00854244">
        <w:rPr>
          <w:rFonts w:cs="Arial"/>
          <w:szCs w:val="20"/>
        </w:rPr>
        <w:t xml:space="preserve">celkové </w:t>
      </w:r>
      <w:r>
        <w:rPr>
          <w:rFonts w:cs="Arial"/>
          <w:szCs w:val="20"/>
        </w:rPr>
        <w:t>částky</w:t>
      </w:r>
      <w:r w:rsidRPr="00854244">
        <w:rPr>
          <w:rFonts w:cs="Arial"/>
          <w:szCs w:val="20"/>
        </w:rPr>
        <w:t xml:space="preserve"> uvedené v článku 1.</w:t>
      </w:r>
      <w:r>
        <w:rPr>
          <w:rFonts w:cs="Arial"/>
          <w:szCs w:val="20"/>
        </w:rPr>
        <w:t>2</w:t>
      </w:r>
      <w:r w:rsidRPr="00854244">
        <w:rPr>
          <w:rFonts w:cs="Arial"/>
          <w:szCs w:val="20"/>
        </w:rPr>
        <w:t xml:space="preserve"> této Smlouvy kdykoliv v období od podpisu této</w:t>
      </w:r>
      <w:r>
        <w:rPr>
          <w:rFonts w:cs="Arial"/>
          <w:szCs w:val="20"/>
        </w:rPr>
        <w:t> </w:t>
      </w:r>
      <w:r w:rsidRPr="00854244">
        <w:rPr>
          <w:rFonts w:cs="Arial"/>
          <w:szCs w:val="20"/>
        </w:rPr>
        <w:t xml:space="preserve">Smlouvy </w:t>
      </w:r>
      <w:r w:rsidR="004C514F">
        <w:rPr>
          <w:rFonts w:cs="Arial"/>
          <w:b/>
          <w:bCs/>
          <w:szCs w:val="20"/>
        </w:rPr>
        <w:t xml:space="preserve">do </w:t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  <w:r w:rsidRPr="00854244">
        <w:rPr>
          <w:rFonts w:cs="Arial"/>
          <w:szCs w:val="20"/>
        </w:rPr>
        <w:t>.</w:t>
      </w:r>
    </w:p>
    <w:p w14:paraId="01F5DB43" w14:textId="2E5E9CD1" w:rsidR="00910777" w:rsidRPr="00854244" w:rsidRDefault="00910777" w:rsidP="00910777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Úvěrující poskytne Úvěr bezhotovostně </w:t>
      </w:r>
      <w:r w:rsidR="00523444">
        <w:rPr>
          <w:rFonts w:cs="Arial"/>
          <w:szCs w:val="20"/>
        </w:rPr>
        <w:t xml:space="preserve">do </w:t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  <w:r w:rsidR="00523444">
        <w:rPr>
          <w:rFonts w:cs="Arial"/>
          <w:szCs w:val="20"/>
        </w:rPr>
        <w:t xml:space="preserve"> pracovních dnů bankovním převodem na bankovní účet určený</w:t>
      </w:r>
      <w:r>
        <w:rPr>
          <w:rFonts w:cs="Arial"/>
          <w:szCs w:val="20"/>
        </w:rPr>
        <w:t xml:space="preserve"> v žádosti o čerpání.</w:t>
      </w:r>
    </w:p>
    <w:p w14:paraId="017C3265" w14:textId="77777777" w:rsidR="00854244" w:rsidRDefault="00D34E67" w:rsidP="00854244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>Úvěrovaný se zavazuje vrátit Úvěrujícímu Úvěr včetně příslušenství, jakož i plnit další povinnosti sjednané v této Smlouvě.</w:t>
      </w:r>
    </w:p>
    <w:p w14:paraId="6533A513" w14:textId="77777777" w:rsidR="00EE66E6" w:rsidRDefault="00EE66E6" w:rsidP="00EE66E6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</w:p>
    <w:p w14:paraId="0950B5E1" w14:textId="7A003F00" w:rsidR="00EE66E6" w:rsidRPr="002A1498" w:rsidRDefault="00EE66E6" w:rsidP="00EE66E6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rPr>
          <w:rFonts w:cs="Arial"/>
          <w:b/>
          <w:caps/>
          <w:szCs w:val="20"/>
        </w:rPr>
      </w:pPr>
      <w:r w:rsidRPr="002A1498">
        <w:rPr>
          <w:rFonts w:cs="Arial"/>
          <w:b/>
          <w:caps/>
          <w:szCs w:val="20"/>
        </w:rPr>
        <w:t xml:space="preserve">Úrok </w:t>
      </w:r>
    </w:p>
    <w:p w14:paraId="785E2265" w14:textId="29270443" w:rsidR="00EE66E6" w:rsidRPr="002A1498" w:rsidRDefault="00D34E67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>Úvěrovaný</w:t>
      </w:r>
      <w:r w:rsidR="00EE66E6" w:rsidRPr="002A1498">
        <w:rPr>
          <w:rFonts w:cs="Arial"/>
          <w:szCs w:val="20"/>
        </w:rPr>
        <w:t xml:space="preserve"> se zavazuje platit </w:t>
      </w:r>
      <w:r>
        <w:rPr>
          <w:rFonts w:cs="Arial"/>
          <w:szCs w:val="20"/>
        </w:rPr>
        <w:t>Úvěrujícímu</w:t>
      </w:r>
      <w:r w:rsidR="00EE66E6" w:rsidRPr="002A1498">
        <w:rPr>
          <w:rFonts w:cs="Arial"/>
          <w:szCs w:val="20"/>
        </w:rPr>
        <w:t xml:space="preserve"> ode dne poskytnutí </w:t>
      </w:r>
      <w:r>
        <w:rPr>
          <w:rFonts w:cs="Arial"/>
          <w:szCs w:val="20"/>
        </w:rPr>
        <w:t>Úvěru</w:t>
      </w:r>
      <w:r w:rsidR="00EE66E6" w:rsidRPr="002A1498">
        <w:rPr>
          <w:rFonts w:cs="Arial"/>
          <w:szCs w:val="20"/>
        </w:rPr>
        <w:t xml:space="preserve"> do dne </w:t>
      </w:r>
      <w:r>
        <w:rPr>
          <w:rFonts w:cs="Arial"/>
          <w:szCs w:val="20"/>
        </w:rPr>
        <w:t>jeho</w:t>
      </w:r>
      <w:r w:rsidR="00EE66E6" w:rsidRPr="002A1498">
        <w:rPr>
          <w:rFonts w:cs="Arial"/>
          <w:szCs w:val="20"/>
        </w:rPr>
        <w:t xml:space="preserve"> vrácení /včetně/ úrok ve výši </w:t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  <w:r w:rsidR="00EE66E6" w:rsidRPr="002A1498">
        <w:rPr>
          <w:rFonts w:cs="Arial"/>
          <w:szCs w:val="20"/>
        </w:rPr>
        <w:t xml:space="preserve"> % </w:t>
      </w:r>
      <w:r w:rsidR="00EE66E6">
        <w:rPr>
          <w:rFonts w:cs="Arial"/>
          <w:szCs w:val="20"/>
        </w:rPr>
        <w:t>ročně</w:t>
      </w:r>
      <w:r w:rsidR="004F1008">
        <w:rPr>
          <w:rFonts w:cs="Arial"/>
          <w:szCs w:val="20"/>
        </w:rPr>
        <w:t xml:space="preserve"> </w:t>
      </w:r>
      <w:r w:rsidR="004F1008" w:rsidRPr="002A1498">
        <w:rPr>
          <w:rFonts w:cs="Arial"/>
          <w:szCs w:val="20"/>
        </w:rPr>
        <w:t>z</w:t>
      </w:r>
      <w:r w:rsidR="004F1008">
        <w:rPr>
          <w:rFonts w:cs="Arial"/>
          <w:szCs w:val="20"/>
        </w:rPr>
        <w:t> aktuální výše nevrácené</w:t>
      </w:r>
      <w:r>
        <w:rPr>
          <w:rFonts w:cs="Arial"/>
          <w:szCs w:val="20"/>
        </w:rPr>
        <w:t>ho</w:t>
      </w:r>
      <w:r w:rsidR="004F100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Úvěru</w:t>
      </w:r>
      <w:r w:rsidR="00EE66E6" w:rsidRPr="002A1498">
        <w:rPr>
          <w:rFonts w:cs="Arial"/>
          <w:szCs w:val="20"/>
        </w:rPr>
        <w:t xml:space="preserve"> (dále jen </w:t>
      </w:r>
      <w:r w:rsidR="00EE66E6" w:rsidRPr="002A1498">
        <w:rPr>
          <w:rFonts w:cs="Arial"/>
          <w:b/>
          <w:szCs w:val="20"/>
        </w:rPr>
        <w:t>„Úrok“</w:t>
      </w:r>
      <w:r w:rsidR="00EE66E6" w:rsidRPr="002A1498">
        <w:rPr>
          <w:rFonts w:cs="Arial"/>
          <w:szCs w:val="20"/>
        </w:rPr>
        <w:t xml:space="preserve">). </w:t>
      </w:r>
    </w:p>
    <w:p w14:paraId="17D9E5FC" w14:textId="77777777" w:rsidR="00EE66E6" w:rsidRDefault="00EE66E6" w:rsidP="00EE66E6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</w:p>
    <w:p w14:paraId="1D58BD28" w14:textId="77777777" w:rsidR="00EE66E6" w:rsidRPr="003F3DC5" w:rsidRDefault="00EE66E6" w:rsidP="00EE66E6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rPr>
          <w:rFonts w:cs="Arial"/>
          <w:b/>
          <w:caps/>
          <w:szCs w:val="20"/>
        </w:rPr>
      </w:pPr>
      <w:r w:rsidRPr="003F3DC5">
        <w:rPr>
          <w:rFonts w:cs="Arial"/>
          <w:b/>
          <w:caps/>
          <w:szCs w:val="20"/>
        </w:rPr>
        <w:lastRenderedPageBreak/>
        <w:t>Splatnost</w:t>
      </w:r>
    </w:p>
    <w:p w14:paraId="705D66E1" w14:textId="70D5B9C3" w:rsidR="00EE66E6" w:rsidRPr="003F3DC5" w:rsidRDefault="00D34E67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b/>
          <w:bCs/>
          <w:caps/>
        </w:rPr>
      </w:pPr>
      <w:r>
        <w:t>Úvěrovaný</w:t>
      </w:r>
      <w:r w:rsidR="00EE66E6" w:rsidRPr="003F3DC5">
        <w:t xml:space="preserve"> se zavazuje splatit </w:t>
      </w:r>
      <w:r>
        <w:t>Úvěr</w:t>
      </w:r>
      <w:r w:rsidR="00EE66E6">
        <w:t xml:space="preserve"> (včetně přirostlého Úroku</w:t>
      </w:r>
      <w:r w:rsidR="00EE66E6" w:rsidRPr="003F3DC5">
        <w:t xml:space="preserve">) </w:t>
      </w:r>
      <w:r w:rsidR="00EE66E6">
        <w:t xml:space="preserve">do </w:t>
      </w:r>
      <w:r w:rsidR="00841C3B">
        <w:rPr>
          <w:rFonts w:cs="Arial"/>
          <w:szCs w:val="20"/>
        </w:rPr>
        <w:t>[</w:t>
      </w:r>
      <w:r w:rsidR="00841C3B" w:rsidRPr="00841C3B">
        <w:rPr>
          <w:rFonts w:cs="Arial"/>
          <w:szCs w:val="20"/>
          <w:highlight w:val="yellow"/>
        </w:rPr>
        <w:t>DOPLNIT</w:t>
      </w:r>
      <w:r w:rsidR="00841C3B">
        <w:rPr>
          <w:rFonts w:cs="Arial"/>
          <w:szCs w:val="20"/>
        </w:rPr>
        <w:t>]</w:t>
      </w:r>
      <w:r w:rsidR="00EE66E6" w:rsidRPr="00D36B97">
        <w:t xml:space="preserve"> měsíců</w:t>
      </w:r>
      <w:r w:rsidR="00EE66E6">
        <w:t xml:space="preserve"> ode dne</w:t>
      </w:r>
      <w:r w:rsidR="00EE66E6" w:rsidRPr="003F3DC5">
        <w:t xml:space="preserve">, kdy </w:t>
      </w:r>
      <w:r w:rsidR="00854244">
        <w:t>došlo k jeho čerpání.</w:t>
      </w:r>
    </w:p>
    <w:p w14:paraId="4A40C8E6" w14:textId="0FBD1971" w:rsidR="00EE66E6" w:rsidRDefault="00854244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>Úvěrovaný</w:t>
      </w:r>
      <w:r w:rsidR="00EE66E6" w:rsidRPr="003F3DC5">
        <w:rPr>
          <w:rFonts w:cs="Arial"/>
          <w:szCs w:val="20"/>
        </w:rPr>
        <w:t xml:space="preserve"> je oprávněn splatit </w:t>
      </w:r>
      <w:r>
        <w:rPr>
          <w:rFonts w:cs="Arial"/>
          <w:szCs w:val="20"/>
        </w:rPr>
        <w:t>Úvěr</w:t>
      </w:r>
      <w:r w:rsidR="00EE66E6" w:rsidRPr="003F3DC5">
        <w:rPr>
          <w:rFonts w:cs="Arial"/>
          <w:szCs w:val="20"/>
        </w:rPr>
        <w:t xml:space="preserve"> </w:t>
      </w:r>
      <w:r w:rsidR="004F1008">
        <w:rPr>
          <w:rFonts w:cs="Arial"/>
          <w:szCs w:val="20"/>
        </w:rPr>
        <w:t>nebo je</w:t>
      </w:r>
      <w:r>
        <w:rPr>
          <w:rFonts w:cs="Arial"/>
          <w:szCs w:val="20"/>
        </w:rPr>
        <w:t>ho</w:t>
      </w:r>
      <w:r w:rsidR="004F1008">
        <w:rPr>
          <w:rFonts w:cs="Arial"/>
          <w:szCs w:val="20"/>
        </w:rPr>
        <w:t xml:space="preserve"> část</w:t>
      </w:r>
      <w:r w:rsidR="00EE66E6" w:rsidRPr="003F3DC5">
        <w:rPr>
          <w:rFonts w:cs="Arial"/>
          <w:szCs w:val="20"/>
        </w:rPr>
        <w:t>i před datem je</w:t>
      </w:r>
      <w:r>
        <w:rPr>
          <w:rFonts w:cs="Arial"/>
          <w:szCs w:val="20"/>
        </w:rPr>
        <w:t>ho</w:t>
      </w:r>
      <w:r w:rsidR="00EE66E6" w:rsidRPr="003F3DC5">
        <w:rPr>
          <w:rFonts w:cs="Arial"/>
          <w:szCs w:val="20"/>
        </w:rPr>
        <w:t xml:space="preserve"> splatnosti.</w:t>
      </w:r>
      <w:r w:rsidR="004F1008">
        <w:rPr>
          <w:rFonts w:cs="Arial"/>
          <w:szCs w:val="20"/>
        </w:rPr>
        <w:t xml:space="preserve"> </w:t>
      </w:r>
    </w:p>
    <w:p w14:paraId="32680B3A" w14:textId="686BD045" w:rsidR="00EE66E6" w:rsidRDefault="00EE66E6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 w:rsidRPr="003F3DC5">
        <w:rPr>
          <w:rFonts w:cs="Arial"/>
          <w:szCs w:val="20"/>
        </w:rPr>
        <w:t xml:space="preserve">Jakékoli plnění dle této Smlouvy se považuje za uhrazené jeho připsáním na účet </w:t>
      </w:r>
      <w:r w:rsidR="00854244">
        <w:rPr>
          <w:rFonts w:cs="Arial"/>
          <w:szCs w:val="20"/>
        </w:rPr>
        <w:t>Úvěrujícího</w:t>
      </w:r>
      <w:r w:rsidRPr="003F3DC5">
        <w:rPr>
          <w:rFonts w:cs="Arial"/>
          <w:szCs w:val="20"/>
        </w:rPr>
        <w:t>.</w:t>
      </w:r>
    </w:p>
    <w:p w14:paraId="5C838A95" w14:textId="77777777" w:rsidR="00EE66E6" w:rsidRDefault="00EE66E6" w:rsidP="00EE66E6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</w:p>
    <w:p w14:paraId="3D686027" w14:textId="77777777" w:rsidR="00EE66E6" w:rsidRPr="003F3DC5" w:rsidRDefault="00EE66E6" w:rsidP="00EE66E6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rPr>
          <w:rFonts w:cs="Arial"/>
          <w:b/>
          <w:caps/>
          <w:szCs w:val="20"/>
        </w:rPr>
      </w:pPr>
      <w:r w:rsidRPr="003F3DC5">
        <w:rPr>
          <w:rFonts w:cs="Arial"/>
          <w:b/>
          <w:caps/>
          <w:szCs w:val="20"/>
        </w:rPr>
        <w:t>Zajištění a utvrzení závazků</w:t>
      </w:r>
    </w:p>
    <w:p w14:paraId="7565324F" w14:textId="46E49345" w:rsidR="000A6D94" w:rsidRPr="00841C3B" w:rsidRDefault="000A6EBF" w:rsidP="005345F9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  <w:highlight w:val="yellow"/>
        </w:rPr>
      </w:pPr>
      <w:r w:rsidRPr="00841C3B">
        <w:rPr>
          <w:rFonts w:cs="Arial"/>
          <w:szCs w:val="20"/>
          <w:highlight w:val="yellow"/>
        </w:rPr>
        <w:t>Z</w:t>
      </w:r>
      <w:r w:rsidR="00C63F0C" w:rsidRPr="00841C3B">
        <w:rPr>
          <w:rFonts w:cs="Arial"/>
          <w:szCs w:val="20"/>
          <w:highlight w:val="yellow"/>
        </w:rPr>
        <w:t xml:space="preserve">ajištění splacení Úvěru a zaplacení dalších peněžitých nároků dle této Smlouvy ve prospěch Úvěrujícího a v celé výši </w:t>
      </w:r>
      <w:r w:rsidR="009E2C08" w:rsidRPr="00841C3B">
        <w:rPr>
          <w:rFonts w:cs="Arial"/>
          <w:szCs w:val="20"/>
          <w:highlight w:val="yellow"/>
        </w:rPr>
        <w:t>Ú</w:t>
      </w:r>
      <w:r w:rsidR="00C63F0C" w:rsidRPr="00841C3B">
        <w:rPr>
          <w:rFonts w:cs="Arial"/>
          <w:szCs w:val="20"/>
          <w:highlight w:val="yellow"/>
        </w:rPr>
        <w:t>věru poskytovaného na základě této Smlouvy a Žádost</w:t>
      </w:r>
      <w:r w:rsidR="009E2C08" w:rsidRPr="00841C3B">
        <w:rPr>
          <w:rFonts w:cs="Arial"/>
          <w:szCs w:val="20"/>
          <w:highlight w:val="yellow"/>
        </w:rPr>
        <w:t>i</w:t>
      </w:r>
      <w:r w:rsidR="00C63F0C" w:rsidRPr="00841C3B">
        <w:rPr>
          <w:rFonts w:cs="Arial"/>
          <w:szCs w:val="20"/>
          <w:highlight w:val="yellow"/>
        </w:rPr>
        <w:t xml:space="preserve"> o čerpání včetně nesplaceného Úroku</w:t>
      </w:r>
      <w:r w:rsidR="005345F9" w:rsidRPr="00841C3B">
        <w:rPr>
          <w:rFonts w:cs="Arial"/>
          <w:szCs w:val="20"/>
          <w:highlight w:val="yellow"/>
        </w:rPr>
        <w:t xml:space="preserve"> se </w:t>
      </w:r>
      <w:r w:rsidR="00910777" w:rsidRPr="00841C3B">
        <w:rPr>
          <w:rFonts w:cs="Arial"/>
          <w:szCs w:val="20"/>
          <w:highlight w:val="yellow"/>
        </w:rPr>
        <w:t xml:space="preserve">dále </w:t>
      </w:r>
      <w:r w:rsidR="005345F9" w:rsidRPr="00841C3B">
        <w:rPr>
          <w:rFonts w:cs="Arial"/>
          <w:szCs w:val="20"/>
          <w:highlight w:val="yellow"/>
        </w:rPr>
        <w:t>zajišťuje</w:t>
      </w:r>
      <w:r w:rsidR="00C63F0C" w:rsidRPr="00841C3B">
        <w:rPr>
          <w:rFonts w:cs="Arial"/>
          <w:szCs w:val="20"/>
          <w:highlight w:val="yellow"/>
        </w:rPr>
        <w:t xml:space="preserve"> zástavní</w:t>
      </w:r>
      <w:r w:rsidR="005345F9" w:rsidRPr="00841C3B">
        <w:rPr>
          <w:rFonts w:cs="Arial"/>
          <w:szCs w:val="20"/>
          <w:highlight w:val="yellow"/>
        </w:rPr>
        <w:t>m</w:t>
      </w:r>
      <w:r w:rsidR="00C63F0C" w:rsidRPr="00841C3B">
        <w:rPr>
          <w:rFonts w:cs="Arial"/>
          <w:szCs w:val="20"/>
          <w:highlight w:val="yellow"/>
        </w:rPr>
        <w:t xml:space="preserve"> práv</w:t>
      </w:r>
      <w:r w:rsidR="005345F9" w:rsidRPr="00841C3B">
        <w:rPr>
          <w:rFonts w:cs="Arial"/>
          <w:szCs w:val="20"/>
          <w:highlight w:val="yellow"/>
        </w:rPr>
        <w:t>em</w:t>
      </w:r>
      <w:r w:rsidR="00C63F0C" w:rsidRPr="00841C3B">
        <w:rPr>
          <w:rFonts w:cs="Arial"/>
          <w:szCs w:val="20"/>
          <w:highlight w:val="yellow"/>
        </w:rPr>
        <w:t xml:space="preserve"> </w:t>
      </w:r>
      <w:r w:rsidR="00910777" w:rsidRPr="00841C3B">
        <w:rPr>
          <w:rFonts w:cs="Arial"/>
          <w:szCs w:val="20"/>
          <w:highlight w:val="yellow"/>
        </w:rPr>
        <w:t xml:space="preserve">v prvním pořadí </w:t>
      </w:r>
      <w:r w:rsidR="005345F9" w:rsidRPr="00841C3B">
        <w:rPr>
          <w:rFonts w:cs="Arial"/>
          <w:szCs w:val="20"/>
          <w:highlight w:val="yellow"/>
        </w:rPr>
        <w:t xml:space="preserve">Úvěrujícího </w:t>
      </w:r>
      <w:r w:rsidR="00C63F0C" w:rsidRPr="00841C3B">
        <w:rPr>
          <w:rFonts w:cs="Arial"/>
          <w:szCs w:val="20"/>
          <w:highlight w:val="yellow"/>
        </w:rPr>
        <w:t>k </w:t>
      </w:r>
      <w:r w:rsidR="005345F9" w:rsidRPr="00841C3B">
        <w:rPr>
          <w:rFonts w:cs="Open Sans"/>
          <w:szCs w:val="20"/>
          <w:highlight w:val="yellow"/>
        </w:rPr>
        <w:t xml:space="preserve">pozemku </w:t>
      </w:r>
      <w:proofErr w:type="spellStart"/>
      <w:r w:rsidR="005345F9" w:rsidRPr="00841C3B">
        <w:rPr>
          <w:rFonts w:cs="Open Sans"/>
          <w:szCs w:val="20"/>
          <w:highlight w:val="yellow"/>
        </w:rPr>
        <w:t>parc</w:t>
      </w:r>
      <w:proofErr w:type="spellEnd"/>
      <w:r w:rsidR="005345F9" w:rsidRPr="00841C3B">
        <w:rPr>
          <w:rFonts w:cs="Open Sans"/>
          <w:szCs w:val="20"/>
          <w:highlight w:val="yellow"/>
        </w:rPr>
        <w:t xml:space="preserve">. </w:t>
      </w:r>
      <w:proofErr w:type="gramStart"/>
      <w:r w:rsidR="005345F9" w:rsidRPr="00841C3B">
        <w:rPr>
          <w:rFonts w:cs="Open Sans"/>
          <w:szCs w:val="20"/>
          <w:highlight w:val="yellow"/>
        </w:rPr>
        <w:t>č.</w:t>
      </w:r>
      <w:proofErr w:type="gramEnd"/>
      <w:r w:rsidR="005345F9" w:rsidRPr="00841C3B">
        <w:rPr>
          <w:rFonts w:cs="Open Sans"/>
          <w:szCs w:val="20"/>
          <w:highlight w:val="yellow"/>
        </w:rPr>
        <w:t xml:space="preserve"> </w:t>
      </w:r>
      <w:r w:rsidR="00841C3B" w:rsidRPr="00841C3B">
        <w:rPr>
          <w:rFonts w:cs="Arial"/>
          <w:szCs w:val="20"/>
          <w:highlight w:val="yellow"/>
        </w:rPr>
        <w:t>[DOPLNIT]</w:t>
      </w:r>
      <w:r w:rsidR="005345F9" w:rsidRPr="00841C3B">
        <w:rPr>
          <w:rFonts w:cs="Open Sans"/>
          <w:szCs w:val="20"/>
          <w:highlight w:val="yellow"/>
        </w:rPr>
        <w:t xml:space="preserve">, o výměře </w:t>
      </w:r>
      <w:r w:rsidR="00841C3B" w:rsidRPr="00841C3B">
        <w:rPr>
          <w:rFonts w:cs="Arial"/>
          <w:szCs w:val="20"/>
          <w:highlight w:val="yellow"/>
        </w:rPr>
        <w:t>[DOPLNIT]</w:t>
      </w:r>
      <w:r w:rsidR="005345F9" w:rsidRPr="00841C3B">
        <w:rPr>
          <w:rFonts w:cs="Open Sans"/>
          <w:szCs w:val="20"/>
          <w:highlight w:val="yellow"/>
        </w:rPr>
        <w:t xml:space="preserve"> m</w:t>
      </w:r>
      <w:r w:rsidR="005345F9" w:rsidRPr="00841C3B">
        <w:rPr>
          <w:rFonts w:cs="Open Sans"/>
          <w:szCs w:val="20"/>
          <w:highlight w:val="yellow"/>
          <w:vertAlign w:val="superscript"/>
        </w:rPr>
        <w:t>2</w:t>
      </w:r>
      <w:r w:rsidR="005345F9" w:rsidRPr="00841C3B">
        <w:rPr>
          <w:rFonts w:cs="Open Sans"/>
          <w:szCs w:val="20"/>
          <w:highlight w:val="yellow"/>
        </w:rPr>
        <w:t xml:space="preserve">, jehož součástí je budova č. p. </w:t>
      </w:r>
      <w:r w:rsidR="00841C3B" w:rsidRPr="00841C3B">
        <w:rPr>
          <w:rFonts w:cs="Arial"/>
          <w:szCs w:val="20"/>
          <w:highlight w:val="yellow"/>
        </w:rPr>
        <w:t>[DOPLNIT]</w:t>
      </w:r>
      <w:r w:rsidR="00841C3B" w:rsidRPr="00841C3B">
        <w:rPr>
          <w:rFonts w:cs="Arial"/>
          <w:szCs w:val="20"/>
          <w:highlight w:val="yellow"/>
        </w:rPr>
        <w:t xml:space="preserve">, </w:t>
      </w:r>
      <w:r w:rsidR="005345F9" w:rsidRPr="00841C3B">
        <w:rPr>
          <w:rFonts w:cs="Open Sans"/>
          <w:szCs w:val="20"/>
          <w:highlight w:val="yellow"/>
        </w:rPr>
        <w:t>zapsan</w:t>
      </w:r>
      <w:r w:rsidR="00841C3B" w:rsidRPr="00841C3B">
        <w:rPr>
          <w:rFonts w:cs="Open Sans"/>
          <w:szCs w:val="20"/>
          <w:highlight w:val="yellow"/>
        </w:rPr>
        <w:t>é</w:t>
      </w:r>
      <w:r w:rsidR="005345F9" w:rsidRPr="00841C3B">
        <w:rPr>
          <w:rFonts w:cs="Open Sans"/>
          <w:szCs w:val="20"/>
          <w:highlight w:val="yellow"/>
        </w:rPr>
        <w:t xml:space="preserve"> na LV č. </w:t>
      </w:r>
      <w:r w:rsidR="00841C3B" w:rsidRPr="00841C3B">
        <w:rPr>
          <w:rFonts w:cs="Arial"/>
          <w:szCs w:val="20"/>
          <w:highlight w:val="yellow"/>
        </w:rPr>
        <w:t>[DOPLNIT]</w:t>
      </w:r>
      <w:r w:rsidR="005345F9" w:rsidRPr="00841C3B">
        <w:rPr>
          <w:rFonts w:cs="Open Sans"/>
          <w:szCs w:val="20"/>
          <w:highlight w:val="yellow"/>
        </w:rPr>
        <w:t xml:space="preserve">, katastrální území </w:t>
      </w:r>
      <w:r w:rsidR="00841C3B" w:rsidRPr="00841C3B">
        <w:rPr>
          <w:rFonts w:cs="Arial"/>
          <w:szCs w:val="20"/>
          <w:highlight w:val="yellow"/>
        </w:rPr>
        <w:t>[DOPLNIT]</w:t>
      </w:r>
      <w:r w:rsidR="005345F9" w:rsidRPr="00841C3B">
        <w:rPr>
          <w:rFonts w:cs="Open Sans"/>
          <w:szCs w:val="20"/>
          <w:highlight w:val="yellow"/>
        </w:rPr>
        <w:t xml:space="preserve">, obec </w:t>
      </w:r>
      <w:r w:rsidR="00841C3B" w:rsidRPr="00841C3B">
        <w:rPr>
          <w:rFonts w:cs="Arial"/>
          <w:szCs w:val="20"/>
          <w:highlight w:val="yellow"/>
        </w:rPr>
        <w:t>[DOPLNIT]</w:t>
      </w:r>
      <w:r w:rsidR="005345F9" w:rsidRPr="00841C3B">
        <w:rPr>
          <w:rFonts w:cs="Open Sans"/>
          <w:szCs w:val="20"/>
          <w:highlight w:val="yellow"/>
        </w:rPr>
        <w:t xml:space="preserve">, v katastru nemovitostí vedeném Katastrálním úřadem pro hlavní město </w:t>
      </w:r>
      <w:r w:rsidR="00841C3B" w:rsidRPr="00841C3B">
        <w:rPr>
          <w:rFonts w:cs="Arial"/>
          <w:szCs w:val="20"/>
          <w:highlight w:val="yellow"/>
        </w:rPr>
        <w:t>[DOPLNIT]</w:t>
      </w:r>
      <w:r w:rsidR="005345F9" w:rsidRPr="00841C3B">
        <w:rPr>
          <w:rFonts w:cs="Open Sans"/>
          <w:szCs w:val="20"/>
          <w:highlight w:val="yellow"/>
        </w:rPr>
        <w:t xml:space="preserve">, Katastrální pracoviště </w:t>
      </w:r>
      <w:r w:rsidR="00841C3B" w:rsidRPr="00841C3B">
        <w:rPr>
          <w:rFonts w:cs="Arial"/>
          <w:szCs w:val="20"/>
          <w:highlight w:val="yellow"/>
        </w:rPr>
        <w:t>[DOPLNIT]</w:t>
      </w:r>
      <w:r w:rsidR="00C63F0C" w:rsidRPr="00841C3B">
        <w:rPr>
          <w:rFonts w:cs="Arial"/>
          <w:szCs w:val="20"/>
          <w:highlight w:val="yellow"/>
        </w:rPr>
        <w:t>, jakož i související</w:t>
      </w:r>
      <w:r w:rsidR="005345F9" w:rsidRPr="00841C3B">
        <w:rPr>
          <w:rFonts w:cs="Arial"/>
          <w:szCs w:val="20"/>
          <w:highlight w:val="yellow"/>
        </w:rPr>
        <w:t>m</w:t>
      </w:r>
      <w:r w:rsidR="00C63F0C" w:rsidRPr="00841C3B">
        <w:rPr>
          <w:rFonts w:cs="Arial"/>
          <w:szCs w:val="20"/>
          <w:highlight w:val="yellow"/>
        </w:rPr>
        <w:t xml:space="preserve"> omezení</w:t>
      </w:r>
      <w:r w:rsidR="005345F9" w:rsidRPr="00841C3B">
        <w:rPr>
          <w:rFonts w:cs="Arial"/>
          <w:szCs w:val="20"/>
          <w:highlight w:val="yellow"/>
        </w:rPr>
        <w:t>m</w:t>
      </w:r>
      <w:r w:rsidR="00C63F0C" w:rsidRPr="00841C3B">
        <w:rPr>
          <w:rFonts w:cs="Arial"/>
          <w:szCs w:val="20"/>
          <w:highlight w:val="yellow"/>
        </w:rPr>
        <w:t xml:space="preserve"> vyplývající</w:t>
      </w:r>
      <w:r w:rsidR="005345F9" w:rsidRPr="00841C3B">
        <w:rPr>
          <w:rFonts w:cs="Arial"/>
          <w:szCs w:val="20"/>
          <w:highlight w:val="yellow"/>
        </w:rPr>
        <w:t>m</w:t>
      </w:r>
      <w:r w:rsidR="00C63F0C" w:rsidRPr="00841C3B">
        <w:rPr>
          <w:rFonts w:cs="Arial"/>
          <w:szCs w:val="20"/>
          <w:highlight w:val="yellow"/>
        </w:rPr>
        <w:t xml:space="preserve"> ze zástavní smlouvy uzavírané současně s touto Smlouvou</w:t>
      </w:r>
      <w:r w:rsidR="009E2C08" w:rsidRPr="00841C3B">
        <w:rPr>
          <w:rFonts w:cs="Arial"/>
          <w:szCs w:val="20"/>
          <w:highlight w:val="yellow"/>
        </w:rPr>
        <w:t xml:space="preserve"> (dále jen „</w:t>
      </w:r>
      <w:r w:rsidR="009E2C08" w:rsidRPr="00841C3B">
        <w:rPr>
          <w:rFonts w:cs="Arial"/>
          <w:b/>
          <w:bCs/>
          <w:szCs w:val="20"/>
          <w:highlight w:val="yellow"/>
        </w:rPr>
        <w:t>Zástavní právo</w:t>
      </w:r>
      <w:r w:rsidR="009E2C08" w:rsidRPr="00841C3B">
        <w:rPr>
          <w:rFonts w:cs="Arial"/>
          <w:szCs w:val="20"/>
          <w:highlight w:val="yellow"/>
        </w:rPr>
        <w:t>“)</w:t>
      </w:r>
      <w:r w:rsidR="00C63F0C" w:rsidRPr="00841C3B">
        <w:rPr>
          <w:rFonts w:cs="Arial"/>
          <w:szCs w:val="20"/>
          <w:highlight w:val="yellow"/>
        </w:rPr>
        <w:t xml:space="preserve">. </w:t>
      </w:r>
      <w:r w:rsidR="0030723B" w:rsidRPr="00841C3B">
        <w:rPr>
          <w:rFonts w:cs="Arial"/>
          <w:szCs w:val="20"/>
          <w:highlight w:val="yellow"/>
        </w:rPr>
        <w:t xml:space="preserve">Návrh na vklad </w:t>
      </w:r>
      <w:r w:rsidR="009E2C08" w:rsidRPr="00841C3B">
        <w:rPr>
          <w:rFonts w:cs="Arial"/>
          <w:szCs w:val="20"/>
          <w:highlight w:val="yellow"/>
        </w:rPr>
        <w:t>Z</w:t>
      </w:r>
      <w:r w:rsidR="0030723B" w:rsidRPr="00841C3B">
        <w:rPr>
          <w:rFonts w:cs="Arial"/>
          <w:szCs w:val="20"/>
          <w:highlight w:val="yellow"/>
        </w:rPr>
        <w:t xml:space="preserve">ástavního práva do katastru nemovitostí </w:t>
      </w:r>
      <w:r w:rsidR="00523444" w:rsidRPr="00841C3B">
        <w:rPr>
          <w:rFonts w:cs="Arial"/>
          <w:szCs w:val="20"/>
          <w:highlight w:val="yellow"/>
        </w:rPr>
        <w:t xml:space="preserve">doručený příslušném Katastrálnímu úřadu </w:t>
      </w:r>
      <w:r w:rsidR="0030723B" w:rsidRPr="00841C3B">
        <w:rPr>
          <w:rFonts w:cs="Arial"/>
          <w:szCs w:val="20"/>
          <w:highlight w:val="yellow"/>
        </w:rPr>
        <w:t>bude tvořit přílohu Žádosti o čerpání</w:t>
      </w:r>
      <w:r w:rsidR="009E2C08" w:rsidRPr="00841C3B">
        <w:rPr>
          <w:rFonts w:cs="Arial"/>
          <w:szCs w:val="20"/>
          <w:highlight w:val="yellow"/>
        </w:rPr>
        <w:t xml:space="preserve"> (dále jen „</w:t>
      </w:r>
      <w:r w:rsidR="009E2C08" w:rsidRPr="00841C3B">
        <w:rPr>
          <w:rFonts w:cs="Arial"/>
          <w:b/>
          <w:bCs/>
          <w:szCs w:val="20"/>
          <w:highlight w:val="yellow"/>
        </w:rPr>
        <w:t>Návrh</w:t>
      </w:r>
      <w:r w:rsidR="009E2C08" w:rsidRPr="00841C3B">
        <w:rPr>
          <w:rFonts w:cs="Arial"/>
          <w:szCs w:val="20"/>
          <w:highlight w:val="yellow"/>
        </w:rPr>
        <w:t>“)</w:t>
      </w:r>
      <w:r w:rsidR="0030723B" w:rsidRPr="00841C3B">
        <w:rPr>
          <w:rFonts w:cs="Arial"/>
          <w:szCs w:val="20"/>
          <w:highlight w:val="yellow"/>
        </w:rPr>
        <w:t>.</w:t>
      </w:r>
      <w:r w:rsidR="009E2C08" w:rsidRPr="00841C3B">
        <w:rPr>
          <w:rFonts w:cs="Arial"/>
          <w:szCs w:val="20"/>
          <w:highlight w:val="yellow"/>
        </w:rPr>
        <w:t xml:space="preserve"> </w:t>
      </w:r>
    </w:p>
    <w:p w14:paraId="742B85D0" w14:textId="6B04743B" w:rsidR="00C63F0C" w:rsidRPr="00841C3B" w:rsidRDefault="009E2C08" w:rsidP="005345F9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  <w:highlight w:val="yellow"/>
        </w:rPr>
      </w:pPr>
      <w:r w:rsidRPr="00841C3B">
        <w:rPr>
          <w:rFonts w:cs="Arial"/>
          <w:szCs w:val="20"/>
          <w:highlight w:val="yellow"/>
        </w:rPr>
        <w:t xml:space="preserve">Úvěrující není povinen poskytnout Úvěrovanému Úvěr, nebude-li mu předán Návrh dle tohoto </w:t>
      </w:r>
      <w:r w:rsidR="000A6D94" w:rsidRPr="00841C3B">
        <w:rPr>
          <w:rFonts w:cs="Arial"/>
          <w:szCs w:val="20"/>
          <w:highlight w:val="yellow"/>
        </w:rPr>
        <w:t xml:space="preserve">článku </w:t>
      </w:r>
      <w:r w:rsidR="005345F9" w:rsidRPr="00841C3B">
        <w:rPr>
          <w:rFonts w:cs="Arial"/>
          <w:szCs w:val="20"/>
          <w:highlight w:val="yellow"/>
        </w:rPr>
        <w:t>Smlouvy</w:t>
      </w:r>
      <w:r w:rsidRPr="00841C3B">
        <w:rPr>
          <w:rFonts w:cs="Arial"/>
          <w:szCs w:val="20"/>
          <w:highlight w:val="yellow"/>
        </w:rPr>
        <w:t>.</w:t>
      </w:r>
      <w:r w:rsidR="0030723B" w:rsidRPr="00841C3B">
        <w:rPr>
          <w:rFonts w:cs="Arial"/>
          <w:szCs w:val="20"/>
          <w:highlight w:val="yellow"/>
        </w:rPr>
        <w:t xml:space="preserve"> </w:t>
      </w:r>
      <w:r w:rsidR="00C63F0C" w:rsidRPr="00841C3B">
        <w:rPr>
          <w:rFonts w:cs="Arial"/>
          <w:szCs w:val="20"/>
          <w:highlight w:val="yellow"/>
        </w:rPr>
        <w:t>Veškeré náklady spojené s realizací zajištění či zápisem jednotlivých zajišťovacích institutů do veřejných rejstříků jdou k tíži Úvěrovaného.</w:t>
      </w:r>
    </w:p>
    <w:p w14:paraId="597C373D" w14:textId="77777777" w:rsidR="00EE66E6" w:rsidRDefault="00EE66E6" w:rsidP="00EE66E6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</w:p>
    <w:p w14:paraId="0D6017DF" w14:textId="77777777" w:rsidR="00EE66E6" w:rsidRPr="00327184" w:rsidRDefault="00EE66E6" w:rsidP="00EE66E6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rPr>
          <w:rFonts w:cs="Arial"/>
          <w:b/>
          <w:caps/>
          <w:szCs w:val="20"/>
        </w:rPr>
      </w:pPr>
      <w:r w:rsidRPr="00327184">
        <w:rPr>
          <w:rFonts w:cs="Arial"/>
          <w:b/>
          <w:caps/>
          <w:szCs w:val="20"/>
        </w:rPr>
        <w:t>Porušení Smlouvy</w:t>
      </w:r>
    </w:p>
    <w:p w14:paraId="149C18C5" w14:textId="77777777" w:rsidR="00523444" w:rsidRPr="002A1498" w:rsidRDefault="00523444" w:rsidP="00523444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 w:rsidRPr="002A1498">
        <w:rPr>
          <w:rFonts w:cs="Arial"/>
          <w:szCs w:val="20"/>
        </w:rPr>
        <w:t xml:space="preserve">V případě prodlení </w:t>
      </w:r>
      <w:r>
        <w:rPr>
          <w:rFonts w:cs="Arial"/>
          <w:szCs w:val="20"/>
        </w:rPr>
        <w:t>Úvěrovaného</w:t>
      </w:r>
      <w:r w:rsidRPr="002A1498">
        <w:rPr>
          <w:rFonts w:cs="Arial"/>
          <w:szCs w:val="20"/>
        </w:rPr>
        <w:t xml:space="preserve"> s vrácením </w:t>
      </w:r>
      <w:r>
        <w:rPr>
          <w:rFonts w:cs="Arial"/>
          <w:szCs w:val="20"/>
        </w:rPr>
        <w:t>Úvěru</w:t>
      </w:r>
      <w:r w:rsidRPr="002A1498">
        <w:rPr>
          <w:rFonts w:cs="Arial"/>
          <w:szCs w:val="20"/>
        </w:rPr>
        <w:t xml:space="preserve"> nebo </w:t>
      </w:r>
      <w:r>
        <w:rPr>
          <w:rFonts w:cs="Arial"/>
          <w:szCs w:val="20"/>
        </w:rPr>
        <w:t>jeho</w:t>
      </w:r>
      <w:r w:rsidRPr="002A1498">
        <w:rPr>
          <w:rFonts w:cs="Arial"/>
          <w:szCs w:val="20"/>
        </w:rPr>
        <w:t xml:space="preserve"> části nebo zaplacením sjednaného Úroku nebo jeho části se </w:t>
      </w:r>
      <w:r>
        <w:rPr>
          <w:rFonts w:cs="Arial"/>
          <w:szCs w:val="20"/>
        </w:rPr>
        <w:t>Úvěrovaný</w:t>
      </w:r>
      <w:r w:rsidRPr="002A1498">
        <w:rPr>
          <w:rFonts w:cs="Arial"/>
          <w:szCs w:val="20"/>
        </w:rPr>
        <w:t xml:space="preserve"> zavazuje hradit </w:t>
      </w:r>
      <w:r>
        <w:rPr>
          <w:rFonts w:cs="Arial"/>
          <w:szCs w:val="20"/>
        </w:rPr>
        <w:t>Úvěrujícímu</w:t>
      </w:r>
      <w:r w:rsidRPr="002A149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 zákonný </w:t>
      </w:r>
      <w:r w:rsidRPr="002A1498">
        <w:rPr>
          <w:rFonts w:cs="Arial"/>
          <w:szCs w:val="20"/>
        </w:rPr>
        <w:t>úrok z</w:t>
      </w:r>
      <w:r>
        <w:rPr>
          <w:rFonts w:cs="Arial"/>
          <w:szCs w:val="20"/>
        </w:rPr>
        <w:t> </w:t>
      </w:r>
      <w:r w:rsidRPr="002A1498">
        <w:rPr>
          <w:rFonts w:cs="Arial"/>
          <w:szCs w:val="20"/>
        </w:rPr>
        <w:t>prodlení</w:t>
      </w:r>
      <w:r>
        <w:rPr>
          <w:rFonts w:cs="Arial"/>
          <w:szCs w:val="20"/>
        </w:rPr>
        <w:t>.</w:t>
      </w:r>
      <w:r w:rsidRPr="002A1498">
        <w:rPr>
          <w:rFonts w:cs="Arial"/>
          <w:szCs w:val="20"/>
        </w:rPr>
        <w:t xml:space="preserve"> </w:t>
      </w:r>
    </w:p>
    <w:p w14:paraId="1D662C24" w14:textId="77777777" w:rsidR="00EE66E6" w:rsidRDefault="00EE66E6" w:rsidP="00EE66E6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</w:p>
    <w:p w14:paraId="3C282BFA" w14:textId="076E2409" w:rsidR="00F15013" w:rsidRDefault="00F15013" w:rsidP="00EE66E6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>Prohlášení</w:t>
      </w:r>
    </w:p>
    <w:p w14:paraId="6CF4D3CC" w14:textId="35B7C44F" w:rsidR="00F15013" w:rsidRDefault="000401E1" w:rsidP="00F34352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>Úvěrovaný prohlašuje Úvěrujícímu, že</w:t>
      </w:r>
    </w:p>
    <w:p w14:paraId="4F68446F" w14:textId="6D4BD54B" w:rsidR="000401E1" w:rsidRPr="004D021B" w:rsidRDefault="00986DF9" w:rsidP="000401E1">
      <w:pPr>
        <w:pStyle w:val="Odstavecseseznamem"/>
        <w:numPr>
          <w:ilvl w:val="2"/>
          <w:numId w:val="1"/>
        </w:numPr>
        <w:spacing w:after="120"/>
        <w:contextualSpacing w:val="0"/>
        <w:jc w:val="both"/>
        <w:rPr>
          <w:rFonts w:cs="Open Sans"/>
          <w:szCs w:val="20"/>
          <w:lang w:eastAsia="cs-CZ"/>
        </w:rPr>
      </w:pPr>
      <w:r w:rsidRPr="004D021B">
        <w:rPr>
          <w:rFonts w:cs="Open Sans"/>
          <w:szCs w:val="20"/>
          <w:lang w:eastAsia="cs-CZ"/>
        </w:rPr>
        <w:t>podle jeho nejlepšího vědomí a jemu známých informací nebyl vůči němu podán návrh na zahájení insolvenčního řízení, není v úpadku ani v hrozícím úpadku</w:t>
      </w:r>
      <w:r>
        <w:rPr>
          <w:rFonts w:cs="Open Sans"/>
          <w:szCs w:val="20"/>
          <w:lang w:eastAsia="cs-CZ"/>
        </w:rPr>
        <w:t xml:space="preserve"> ani vůči němu není vedeno exekuční</w:t>
      </w:r>
      <w:r w:rsidRPr="004D021B">
        <w:rPr>
          <w:rFonts w:cs="Open Sans"/>
          <w:szCs w:val="20"/>
          <w:lang w:eastAsia="cs-CZ"/>
        </w:rPr>
        <w:t xml:space="preserve"> řízení</w:t>
      </w:r>
      <w:r w:rsidR="000401E1" w:rsidRPr="004D021B">
        <w:rPr>
          <w:rFonts w:cs="Open Sans"/>
          <w:szCs w:val="20"/>
          <w:lang w:eastAsia="cs-CZ"/>
        </w:rPr>
        <w:t>;</w:t>
      </w:r>
    </w:p>
    <w:p w14:paraId="788442C8" w14:textId="7D69BBC4" w:rsidR="00F8157E" w:rsidRPr="00F8157E" w:rsidRDefault="00F8157E" w:rsidP="00F8157E">
      <w:pPr>
        <w:numPr>
          <w:ilvl w:val="2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  <w:r w:rsidRPr="00F8157E">
        <w:rPr>
          <w:rFonts w:cs="Arial"/>
          <w:szCs w:val="20"/>
        </w:rPr>
        <w:t xml:space="preserve">je k uzavření a plnění této </w:t>
      </w:r>
      <w:r>
        <w:rPr>
          <w:rFonts w:cs="Arial"/>
          <w:szCs w:val="20"/>
        </w:rPr>
        <w:t>Smlouvy oprávněn</w:t>
      </w:r>
      <w:r w:rsidRPr="00F8157E">
        <w:rPr>
          <w:rFonts w:cs="Arial"/>
          <w:szCs w:val="20"/>
        </w:rPr>
        <w:t xml:space="preserve"> a uzavření a plnění této </w:t>
      </w:r>
      <w:r>
        <w:rPr>
          <w:rFonts w:cs="Arial"/>
          <w:szCs w:val="20"/>
        </w:rPr>
        <w:t xml:space="preserve">Smlouvy </w:t>
      </w:r>
      <w:r w:rsidRPr="00F8157E">
        <w:rPr>
          <w:rFonts w:cs="Arial"/>
          <w:szCs w:val="20"/>
        </w:rPr>
        <w:t>není v rozporu s žádnými právními předpisy, jakýmikoli veřejnoprávními opatřeními ani korporátními dokumenty;</w:t>
      </w:r>
    </w:p>
    <w:p w14:paraId="0502DA23" w14:textId="70DD451B" w:rsidR="00F8157E" w:rsidRPr="00F8157E" w:rsidRDefault="00F8157E" w:rsidP="00F8157E">
      <w:pPr>
        <w:numPr>
          <w:ilvl w:val="2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  <w:r w:rsidRPr="00F8157E">
        <w:rPr>
          <w:rFonts w:cs="Arial"/>
          <w:szCs w:val="20"/>
        </w:rPr>
        <w:t xml:space="preserve">uzavření ani plnění této </w:t>
      </w:r>
      <w:r>
        <w:rPr>
          <w:rFonts w:cs="Arial"/>
          <w:szCs w:val="20"/>
        </w:rPr>
        <w:t xml:space="preserve">Smlouvy </w:t>
      </w:r>
      <w:r w:rsidRPr="00F8157E">
        <w:rPr>
          <w:rFonts w:cs="Arial"/>
          <w:szCs w:val="20"/>
        </w:rPr>
        <w:t xml:space="preserve">nebude mít za následek porušení jakékoliv smlouvy, které účastní jako smluvní strana, ani jakéhokoliv jiného závazku, povinnosti nebo omezení; </w:t>
      </w:r>
    </w:p>
    <w:p w14:paraId="59771E58" w14:textId="5D8315E6" w:rsidR="00F8157E" w:rsidRPr="00F8157E" w:rsidRDefault="00F8157E" w:rsidP="00F8157E">
      <w:pPr>
        <w:numPr>
          <w:ilvl w:val="2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  <w:r w:rsidRPr="00F8157E">
        <w:rPr>
          <w:rFonts w:cs="Arial"/>
          <w:szCs w:val="20"/>
        </w:rPr>
        <w:t xml:space="preserve">tato </w:t>
      </w:r>
      <w:r>
        <w:rPr>
          <w:rFonts w:cs="Arial"/>
          <w:szCs w:val="20"/>
        </w:rPr>
        <w:t xml:space="preserve">Smlouva </w:t>
      </w:r>
      <w:r w:rsidRPr="00F8157E">
        <w:rPr>
          <w:rFonts w:cs="Arial"/>
          <w:szCs w:val="20"/>
        </w:rPr>
        <w:t>po svém uzavření založí platné, závazné a účinné povinnosti vymahatelné v souladu s právními předpisy;</w:t>
      </w:r>
    </w:p>
    <w:p w14:paraId="65F2ED4E" w14:textId="11AB1445" w:rsidR="000401E1" w:rsidRDefault="00F8157E" w:rsidP="00F34352">
      <w:pPr>
        <w:numPr>
          <w:ilvl w:val="2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  <w:r w:rsidRPr="00F8157E">
        <w:rPr>
          <w:rFonts w:cs="Arial"/>
          <w:szCs w:val="20"/>
        </w:rPr>
        <w:t xml:space="preserve">osoba podepisující tuto </w:t>
      </w:r>
      <w:r>
        <w:rPr>
          <w:rFonts w:cs="Arial"/>
          <w:szCs w:val="20"/>
        </w:rPr>
        <w:t xml:space="preserve">Smlouvu za Úvěrovaného </w:t>
      </w:r>
      <w:r w:rsidRPr="00F8157E">
        <w:rPr>
          <w:rFonts w:cs="Arial"/>
          <w:szCs w:val="20"/>
        </w:rPr>
        <w:t xml:space="preserve">je k jejímu uzavření oprávněna podle platných právních </w:t>
      </w:r>
      <w:r>
        <w:rPr>
          <w:rFonts w:cs="Arial"/>
          <w:szCs w:val="20"/>
        </w:rPr>
        <w:t>předpisů a vnitřních předpisů.</w:t>
      </w:r>
    </w:p>
    <w:p w14:paraId="39551FA0" w14:textId="4049066C" w:rsidR="00F8157E" w:rsidRDefault="00F8157E" w:rsidP="00F34352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709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>Úvěrující prohlašuje Úvěrovanému, že</w:t>
      </w:r>
    </w:p>
    <w:p w14:paraId="16525F95" w14:textId="499F5067" w:rsidR="00F8157E" w:rsidRPr="004D021B" w:rsidRDefault="00391B97" w:rsidP="00F8157E">
      <w:pPr>
        <w:pStyle w:val="Odstavecseseznamem"/>
        <w:numPr>
          <w:ilvl w:val="2"/>
          <w:numId w:val="1"/>
        </w:numPr>
        <w:spacing w:after="120"/>
        <w:contextualSpacing w:val="0"/>
        <w:jc w:val="both"/>
        <w:rPr>
          <w:rFonts w:cs="Open Sans"/>
          <w:szCs w:val="20"/>
          <w:lang w:eastAsia="cs-CZ"/>
        </w:rPr>
      </w:pPr>
      <w:r w:rsidRPr="004D021B">
        <w:rPr>
          <w:rFonts w:cs="Open Sans"/>
          <w:szCs w:val="20"/>
          <w:lang w:eastAsia="cs-CZ"/>
        </w:rPr>
        <w:lastRenderedPageBreak/>
        <w:t>podle jeho nejlepšího vědomí a jemu známých informací nebyl vůči němu podán návrh na zahájení insolvenčního řízení, není v úpadku ani v hrozícím úpadku</w:t>
      </w:r>
      <w:r w:rsidR="00986DF9">
        <w:rPr>
          <w:rFonts w:cs="Open Sans"/>
          <w:szCs w:val="20"/>
          <w:lang w:eastAsia="cs-CZ"/>
        </w:rPr>
        <w:t xml:space="preserve"> ani vůči němu není vedeno exekuční</w:t>
      </w:r>
      <w:r w:rsidR="00986DF9" w:rsidRPr="004D021B">
        <w:rPr>
          <w:rFonts w:cs="Open Sans"/>
          <w:szCs w:val="20"/>
          <w:lang w:eastAsia="cs-CZ"/>
        </w:rPr>
        <w:t xml:space="preserve"> řízení</w:t>
      </w:r>
      <w:r w:rsidR="00F8157E" w:rsidRPr="004D021B">
        <w:rPr>
          <w:rFonts w:cs="Open Sans"/>
          <w:szCs w:val="20"/>
          <w:lang w:eastAsia="cs-CZ"/>
        </w:rPr>
        <w:t>;</w:t>
      </w:r>
    </w:p>
    <w:p w14:paraId="712995B1" w14:textId="77777777" w:rsidR="00F8157E" w:rsidRPr="00F8157E" w:rsidRDefault="00F8157E" w:rsidP="00F8157E">
      <w:pPr>
        <w:numPr>
          <w:ilvl w:val="2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  <w:r w:rsidRPr="00F8157E">
        <w:rPr>
          <w:rFonts w:cs="Arial"/>
          <w:szCs w:val="20"/>
        </w:rPr>
        <w:t xml:space="preserve">je k uzavření a plnění této </w:t>
      </w:r>
      <w:r>
        <w:rPr>
          <w:rFonts w:cs="Arial"/>
          <w:szCs w:val="20"/>
        </w:rPr>
        <w:t>Smlouvy oprávněn</w:t>
      </w:r>
      <w:r w:rsidRPr="00F8157E">
        <w:rPr>
          <w:rFonts w:cs="Arial"/>
          <w:szCs w:val="20"/>
        </w:rPr>
        <w:t xml:space="preserve"> a uzavření a plnění této </w:t>
      </w:r>
      <w:r>
        <w:rPr>
          <w:rFonts w:cs="Arial"/>
          <w:szCs w:val="20"/>
        </w:rPr>
        <w:t xml:space="preserve">Smlouvy </w:t>
      </w:r>
      <w:r w:rsidRPr="00F8157E">
        <w:rPr>
          <w:rFonts w:cs="Arial"/>
          <w:szCs w:val="20"/>
        </w:rPr>
        <w:t>není v rozporu s žádnými právními předpisy, jakýmikoli veřejnoprávními opatřeními ani korporátními dokumenty;</w:t>
      </w:r>
    </w:p>
    <w:p w14:paraId="63609AD7" w14:textId="77777777" w:rsidR="00F8157E" w:rsidRPr="00F8157E" w:rsidRDefault="00F8157E" w:rsidP="00F8157E">
      <w:pPr>
        <w:numPr>
          <w:ilvl w:val="2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  <w:r w:rsidRPr="00F8157E">
        <w:rPr>
          <w:rFonts w:cs="Arial"/>
          <w:szCs w:val="20"/>
        </w:rPr>
        <w:t xml:space="preserve">uzavření ani plnění této </w:t>
      </w:r>
      <w:r>
        <w:rPr>
          <w:rFonts w:cs="Arial"/>
          <w:szCs w:val="20"/>
        </w:rPr>
        <w:t xml:space="preserve">Smlouvy </w:t>
      </w:r>
      <w:r w:rsidRPr="00F8157E">
        <w:rPr>
          <w:rFonts w:cs="Arial"/>
          <w:szCs w:val="20"/>
        </w:rPr>
        <w:t xml:space="preserve">nebude mít za následek porušení jakékoliv smlouvy, které účastní jako smluvní strana, ani jakéhokoliv jiného závazku, povinnosti nebo omezení; </w:t>
      </w:r>
    </w:p>
    <w:p w14:paraId="0C21078B" w14:textId="77777777" w:rsidR="00F8157E" w:rsidRPr="00F8157E" w:rsidRDefault="00F8157E" w:rsidP="00F8157E">
      <w:pPr>
        <w:numPr>
          <w:ilvl w:val="2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  <w:r w:rsidRPr="00F8157E">
        <w:rPr>
          <w:rFonts w:cs="Arial"/>
          <w:szCs w:val="20"/>
        </w:rPr>
        <w:t xml:space="preserve">tato </w:t>
      </w:r>
      <w:r>
        <w:rPr>
          <w:rFonts w:cs="Arial"/>
          <w:szCs w:val="20"/>
        </w:rPr>
        <w:t xml:space="preserve">Smlouva </w:t>
      </w:r>
      <w:r w:rsidRPr="00F8157E">
        <w:rPr>
          <w:rFonts w:cs="Arial"/>
          <w:szCs w:val="20"/>
        </w:rPr>
        <w:t>po svém uzavření založí platné, závazné a účinné povinnosti vymahatelné v souladu s právními předpisy;</w:t>
      </w:r>
    </w:p>
    <w:p w14:paraId="4C883580" w14:textId="6A2B2660" w:rsidR="00F8157E" w:rsidRDefault="00F8157E" w:rsidP="00F34352">
      <w:pPr>
        <w:numPr>
          <w:ilvl w:val="2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0"/>
        </w:rPr>
      </w:pPr>
      <w:r w:rsidRPr="00F8157E">
        <w:rPr>
          <w:rFonts w:cs="Arial"/>
          <w:szCs w:val="20"/>
        </w:rPr>
        <w:t xml:space="preserve">osoba podepisující tuto </w:t>
      </w:r>
      <w:r>
        <w:rPr>
          <w:rFonts w:cs="Arial"/>
          <w:szCs w:val="20"/>
        </w:rPr>
        <w:t xml:space="preserve">Smlouvu za Úvěrovaného </w:t>
      </w:r>
      <w:r w:rsidRPr="00F8157E">
        <w:rPr>
          <w:rFonts w:cs="Arial"/>
          <w:szCs w:val="20"/>
        </w:rPr>
        <w:t xml:space="preserve">je k jejímu uzavření oprávněna podle platných právních </w:t>
      </w:r>
      <w:r>
        <w:rPr>
          <w:rFonts w:cs="Arial"/>
          <w:szCs w:val="20"/>
        </w:rPr>
        <w:t>předpisů a vnitřních předpisů.</w:t>
      </w:r>
    </w:p>
    <w:p w14:paraId="2F987065" w14:textId="6CF3151B" w:rsidR="00A036E7" w:rsidRDefault="00F8157E" w:rsidP="00F34352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 w:rsidRPr="00A036E7">
        <w:rPr>
          <w:rFonts w:cs="Arial"/>
          <w:szCs w:val="20"/>
        </w:rPr>
        <w:t xml:space="preserve">Ukáže-li se </w:t>
      </w:r>
      <w:r w:rsidR="00A036E7">
        <w:rPr>
          <w:rFonts w:cs="Arial"/>
          <w:szCs w:val="20"/>
        </w:rPr>
        <w:t xml:space="preserve">před čerpáním Úvěru </w:t>
      </w:r>
      <w:r w:rsidRPr="00A036E7">
        <w:rPr>
          <w:rFonts w:cs="Arial"/>
          <w:szCs w:val="20"/>
        </w:rPr>
        <w:t xml:space="preserve">jakékoliv prohlášení Úvěrovaného </w:t>
      </w:r>
      <w:r w:rsidR="0096636E" w:rsidRPr="00A036E7">
        <w:rPr>
          <w:rFonts w:cs="Arial"/>
          <w:szCs w:val="20"/>
        </w:rPr>
        <w:t>nepravdivým</w:t>
      </w:r>
      <w:r w:rsidR="00A036E7">
        <w:rPr>
          <w:rFonts w:cs="Arial"/>
          <w:szCs w:val="20"/>
        </w:rPr>
        <w:t>,</w:t>
      </w:r>
      <w:r w:rsidR="0096636E" w:rsidRPr="00A036E7">
        <w:rPr>
          <w:rFonts w:cs="Arial"/>
          <w:szCs w:val="20"/>
        </w:rPr>
        <w:t xml:space="preserve"> je Úvěrující oprávněn odmítnout poskytnutí Úvěru</w:t>
      </w:r>
      <w:r w:rsidR="00A036E7">
        <w:rPr>
          <w:rFonts w:cs="Arial"/>
          <w:szCs w:val="20"/>
        </w:rPr>
        <w:t xml:space="preserve">, a to až do okamžiku, kdy Úvěrovaný takový závadný stav nenapraví nebo předloží hodnověrné důkazy, že zahájené insolvenční řízení je </w:t>
      </w:r>
      <w:proofErr w:type="spellStart"/>
      <w:r w:rsidR="00A036E7">
        <w:rPr>
          <w:rFonts w:cs="Arial"/>
          <w:szCs w:val="20"/>
        </w:rPr>
        <w:t>šikanózním</w:t>
      </w:r>
      <w:proofErr w:type="spellEnd"/>
      <w:r w:rsidR="00A036E7">
        <w:rPr>
          <w:rFonts w:cs="Arial"/>
          <w:szCs w:val="20"/>
        </w:rPr>
        <w:t>.</w:t>
      </w:r>
    </w:p>
    <w:p w14:paraId="447DA166" w14:textId="77777777" w:rsidR="00E73E65" w:rsidRDefault="00E73E65" w:rsidP="00F34352">
      <w:pPr>
        <w:keepNext/>
        <w:autoSpaceDE w:val="0"/>
        <w:autoSpaceDN w:val="0"/>
        <w:adjustRightInd w:val="0"/>
        <w:spacing w:after="120" w:line="288" w:lineRule="auto"/>
        <w:ind w:left="567"/>
        <w:rPr>
          <w:rFonts w:cs="Arial"/>
          <w:b/>
          <w:caps/>
          <w:szCs w:val="20"/>
        </w:rPr>
      </w:pPr>
    </w:p>
    <w:p w14:paraId="73B833B9" w14:textId="77777777" w:rsidR="00EE66E6" w:rsidRPr="00327184" w:rsidRDefault="00EE66E6" w:rsidP="00EE66E6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rPr>
          <w:rFonts w:cs="Arial"/>
          <w:b/>
          <w:caps/>
          <w:szCs w:val="20"/>
        </w:rPr>
      </w:pPr>
      <w:r w:rsidRPr="00327184">
        <w:rPr>
          <w:rFonts w:cs="Arial"/>
          <w:b/>
          <w:caps/>
          <w:szCs w:val="20"/>
        </w:rPr>
        <w:t>Ostatní ujednání</w:t>
      </w:r>
    </w:p>
    <w:p w14:paraId="7CA52774" w14:textId="77777777" w:rsidR="00EE66E6" w:rsidRPr="00327184" w:rsidRDefault="00EE66E6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b/>
          <w:smallCaps/>
          <w:szCs w:val="20"/>
        </w:rPr>
      </w:pPr>
      <w:r w:rsidRPr="00327184">
        <w:rPr>
          <w:rFonts w:cs="Arial"/>
          <w:szCs w:val="20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66E79908" w14:textId="77777777" w:rsidR="00EE66E6" w:rsidRPr="00327184" w:rsidRDefault="00EE66E6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b/>
          <w:smallCaps/>
          <w:szCs w:val="20"/>
        </w:rPr>
      </w:pPr>
      <w:r w:rsidRPr="00327184">
        <w:rPr>
          <w:rFonts w:cs="Arial"/>
          <w:szCs w:val="20"/>
        </w:rPr>
        <w:t>Smluvní strany tímto výslovně potvrzují, že základní podmínky této Smlouvy jsou výsledkem jednání Smluvních stran a každá ze Smluvních stran měla příležitost ovlivnit obsah základních podmínek této Smlouvy.</w:t>
      </w:r>
    </w:p>
    <w:p w14:paraId="5DE6A68A" w14:textId="77777777" w:rsidR="00EE66E6" w:rsidRPr="00327184" w:rsidRDefault="00EE66E6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b/>
          <w:smallCaps/>
          <w:szCs w:val="20"/>
        </w:rPr>
      </w:pPr>
      <w:r w:rsidRPr="00327184">
        <w:rPr>
          <w:rFonts w:cs="Arial"/>
          <w:szCs w:val="20"/>
        </w:rPr>
        <w:t>V případě, kdy bude jakákoliv smluvní pokuta dle této Smlouvy snížena soudem, zůstává zachováno právo na náhradu újmy ve výši, v jaké újma převyšuje částku určenou soudem jako přiměřenou a to bez jakéhokoliv dalšího omezení.</w:t>
      </w:r>
    </w:p>
    <w:p w14:paraId="748FE5C7" w14:textId="001EEAE3" w:rsidR="00EE66E6" w:rsidRPr="00327184" w:rsidRDefault="00864B15" w:rsidP="00EE66E6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b/>
          <w:smallCaps/>
          <w:szCs w:val="20"/>
        </w:rPr>
      </w:pPr>
      <w:r>
        <w:rPr>
          <w:bCs/>
          <w:szCs w:val="20"/>
        </w:rPr>
        <w:t>Úvěrovaný</w:t>
      </w:r>
      <w:r w:rsidR="00EE66E6" w:rsidRPr="00327184">
        <w:rPr>
          <w:szCs w:val="20"/>
        </w:rPr>
        <w:t xml:space="preserve"> přebírá podle § 1765 občanského zákoníku riziko změny okolností, zejména v souvislosti se změnou jeho majetkových poměrů.</w:t>
      </w:r>
    </w:p>
    <w:p w14:paraId="4F6F07D7" w14:textId="77777777" w:rsidR="00EE66E6" w:rsidRPr="00327184" w:rsidRDefault="00EE66E6" w:rsidP="00EE66E6">
      <w:pPr>
        <w:numPr>
          <w:ilvl w:val="1"/>
          <w:numId w:val="1"/>
        </w:numPr>
        <w:tabs>
          <w:tab w:val="left" w:pos="709"/>
        </w:tabs>
        <w:spacing w:after="120" w:line="288" w:lineRule="auto"/>
        <w:ind w:left="567" w:hanging="567"/>
        <w:jc w:val="both"/>
        <w:rPr>
          <w:rFonts w:cs="Arial"/>
          <w:b/>
          <w:szCs w:val="20"/>
        </w:rPr>
      </w:pPr>
      <w:r w:rsidRPr="00327184">
        <w:rPr>
          <w:rFonts w:cs="Arial"/>
          <w:szCs w:val="20"/>
        </w:rPr>
        <w:t>Bude-li shledáno některé ustanovení této Smlouvy jako neplatné, neúčinné a/nebo nevymahatelné, je plně oddělitelné od ostatních ustanovení této Smlouvy a taková neplatnost, neúčinnost a/nebo nevymahatelnost nebude mít žádný vliv na platnost, účinnost a/nebo vymahatelnost ostatních ustanovení této Smlouvy. Smluvní strany se zavazují v rámci této Smlouvy nahradit formou dodatku k této Smlouvě toto neplatné, neúčinné a/nebo nevymahatelné ustanovení novým, platným, účinným a vymahatelným ustanovením, které bude v nejvyšší možné míře odpovídat předmětu původního ustanovení.</w:t>
      </w:r>
    </w:p>
    <w:p w14:paraId="718CA961" w14:textId="77777777" w:rsidR="00EE66E6" w:rsidRPr="00327184" w:rsidRDefault="00EE66E6" w:rsidP="00EE66E6">
      <w:pPr>
        <w:numPr>
          <w:ilvl w:val="1"/>
          <w:numId w:val="1"/>
        </w:numPr>
        <w:tabs>
          <w:tab w:val="left" w:pos="709"/>
        </w:tabs>
        <w:spacing w:after="120" w:line="288" w:lineRule="auto"/>
        <w:ind w:left="567" w:hanging="567"/>
        <w:jc w:val="both"/>
        <w:rPr>
          <w:rFonts w:cs="Arial"/>
          <w:b/>
          <w:szCs w:val="20"/>
        </w:rPr>
      </w:pPr>
      <w:r w:rsidRPr="00327184">
        <w:rPr>
          <w:rFonts w:cs="Arial"/>
          <w:szCs w:val="20"/>
        </w:rPr>
        <w:t xml:space="preserve">Bude-li shledáno některé z ustanovení této Smlouvy zdánlivým (nicotným), posoudí se vliv této vady na ostatní ustanovení smlouvy obdobně podle § 576 občanského zákoníku. </w:t>
      </w:r>
    </w:p>
    <w:p w14:paraId="3C4AEC1E" w14:textId="77777777" w:rsidR="00EE66E6" w:rsidRPr="00327184" w:rsidRDefault="00EE66E6" w:rsidP="00EE66E6">
      <w:pPr>
        <w:tabs>
          <w:tab w:val="left" w:pos="709"/>
        </w:tabs>
        <w:spacing w:after="120" w:line="288" w:lineRule="auto"/>
        <w:ind w:left="567"/>
        <w:jc w:val="both"/>
        <w:rPr>
          <w:rFonts w:cs="Arial"/>
          <w:b/>
          <w:szCs w:val="20"/>
        </w:rPr>
      </w:pPr>
    </w:p>
    <w:p w14:paraId="21511ABC" w14:textId="77777777" w:rsidR="00EE66E6" w:rsidRPr="00327184" w:rsidRDefault="00EE66E6" w:rsidP="00EE66E6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rPr>
          <w:rFonts w:cs="Arial"/>
          <w:b/>
          <w:caps/>
          <w:szCs w:val="20"/>
        </w:rPr>
      </w:pPr>
      <w:r w:rsidRPr="00327184">
        <w:rPr>
          <w:rFonts w:cs="Arial"/>
          <w:b/>
          <w:caps/>
          <w:szCs w:val="20"/>
        </w:rPr>
        <w:t>Závěrečná ustanovení</w:t>
      </w:r>
    </w:p>
    <w:p w14:paraId="3F7B5DFC" w14:textId="77777777" w:rsidR="00EE66E6" w:rsidRPr="00327184" w:rsidRDefault="00EE66E6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rPr>
          <w:rFonts w:cs="Arial"/>
          <w:szCs w:val="20"/>
        </w:rPr>
      </w:pPr>
      <w:r w:rsidRPr="00327184">
        <w:rPr>
          <w:rFonts w:cs="Arial"/>
          <w:szCs w:val="20"/>
        </w:rPr>
        <w:t>Tato Smlouva může být měněna pouze písemnou dohodou Smluvních stran.</w:t>
      </w:r>
    </w:p>
    <w:p w14:paraId="7AD17585" w14:textId="77777777" w:rsidR="00EE66E6" w:rsidRPr="00327184" w:rsidRDefault="00EE66E6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 w:rsidRPr="00327184">
        <w:rPr>
          <w:rFonts w:cs="Arial"/>
          <w:szCs w:val="20"/>
        </w:rPr>
        <w:lastRenderedPageBreak/>
        <w:t>Tato Smlouva byla vyhotovena ve 2 vyhotoveních s platností originálu, přičemž každá Smluvní strana obdrží po jednom vyhotovení.</w:t>
      </w:r>
    </w:p>
    <w:p w14:paraId="50965B83" w14:textId="77777777" w:rsidR="00EE66E6" w:rsidRPr="00327184" w:rsidRDefault="00EE66E6" w:rsidP="00EE66E6">
      <w:pPr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="Arial"/>
          <w:szCs w:val="20"/>
        </w:rPr>
      </w:pPr>
      <w:r w:rsidRPr="00327184">
        <w:rPr>
          <w:rFonts w:cs="Arial"/>
          <w:szCs w:val="20"/>
        </w:rPr>
        <w:t xml:space="preserve">Tato Smlouva nabývá platnosti a účinnosti dnem jejího podepsání oběma Smluvními stranami. </w:t>
      </w:r>
    </w:p>
    <w:p w14:paraId="33419585" w14:textId="77777777" w:rsidR="00EE66E6" w:rsidRPr="00327184" w:rsidRDefault="00EE66E6" w:rsidP="00EE66E6">
      <w:pPr>
        <w:numPr>
          <w:ilvl w:val="1"/>
          <w:numId w:val="1"/>
        </w:numPr>
        <w:spacing w:after="120" w:line="288" w:lineRule="auto"/>
        <w:ind w:left="567" w:hanging="567"/>
        <w:jc w:val="both"/>
        <w:rPr>
          <w:rFonts w:cs="Arial"/>
          <w:szCs w:val="20"/>
        </w:rPr>
      </w:pPr>
      <w:r w:rsidRPr="00327184">
        <w:rPr>
          <w:rFonts w:cs="Arial"/>
          <w:szCs w:val="20"/>
        </w:rPr>
        <w:t>Obě Smluvní strany prohlašují, že se s obsahem této Smlouvy řádně seznámily, že s jejím obsahem souhlasí a že mají oprávnění k uzavření této Smlouvy, jakož i k plnění závazků z této Smlouvy vyplývajících. Na důkaz toho, že Smlouva byla uzavřena svobodně a vážně, ji Smluvní strany níže podepisují.</w:t>
      </w:r>
    </w:p>
    <w:p w14:paraId="528C650C" w14:textId="77777777" w:rsidR="008B1B86" w:rsidRDefault="008B1B86" w:rsidP="00EE66E6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b/>
          <w:bCs/>
          <w:szCs w:val="20"/>
        </w:rPr>
      </w:pPr>
    </w:p>
    <w:p w14:paraId="7611DC7D" w14:textId="790BBE31" w:rsidR="00EE66E6" w:rsidRPr="008B1B86" w:rsidRDefault="008B1B86" w:rsidP="00EE66E6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b/>
          <w:bCs/>
          <w:szCs w:val="20"/>
        </w:rPr>
      </w:pPr>
      <w:r w:rsidRPr="008B1B86">
        <w:rPr>
          <w:rFonts w:cs="Arial"/>
          <w:b/>
          <w:bCs/>
          <w:szCs w:val="20"/>
        </w:rPr>
        <w:t>Úvěrující:</w:t>
      </w:r>
      <w:r w:rsidRPr="008B1B86">
        <w:rPr>
          <w:rFonts w:cs="Arial"/>
          <w:b/>
          <w:bCs/>
          <w:szCs w:val="20"/>
        </w:rPr>
        <w:tab/>
        <w:t xml:space="preserve"> </w:t>
      </w:r>
      <w:r w:rsidRPr="008B1B86">
        <w:rPr>
          <w:rFonts w:cs="Arial"/>
          <w:b/>
          <w:bCs/>
          <w:szCs w:val="20"/>
        </w:rPr>
        <w:tab/>
      </w:r>
      <w:r w:rsidRPr="008B1B86">
        <w:rPr>
          <w:rFonts w:cs="Arial"/>
          <w:b/>
          <w:bCs/>
          <w:szCs w:val="20"/>
        </w:rPr>
        <w:tab/>
      </w:r>
      <w:r w:rsidRPr="008B1B86">
        <w:rPr>
          <w:rFonts w:cs="Arial"/>
          <w:b/>
          <w:bCs/>
          <w:szCs w:val="20"/>
        </w:rPr>
        <w:tab/>
      </w:r>
      <w:r w:rsidRPr="008B1B86">
        <w:rPr>
          <w:rFonts w:cs="Arial"/>
          <w:b/>
          <w:bCs/>
          <w:szCs w:val="20"/>
        </w:rPr>
        <w:tab/>
      </w:r>
      <w:r w:rsidRPr="008B1B86">
        <w:rPr>
          <w:rFonts w:cs="Arial"/>
          <w:b/>
          <w:bCs/>
          <w:szCs w:val="20"/>
        </w:rPr>
        <w:tab/>
        <w:t>Úvěrovaný:</w:t>
      </w:r>
    </w:p>
    <w:p w14:paraId="60138A6F" w14:textId="66420EE9" w:rsidR="008B1B86" w:rsidRPr="00327184" w:rsidRDefault="00EE66E6" w:rsidP="008B1B86">
      <w:pPr>
        <w:spacing w:line="288" w:lineRule="auto"/>
        <w:rPr>
          <w:rFonts w:cs="Arial"/>
          <w:szCs w:val="20"/>
        </w:rPr>
      </w:pPr>
      <w:bookmarkStart w:id="3" w:name="_Hlk67927964"/>
      <w:r w:rsidRPr="00327184">
        <w:rPr>
          <w:rFonts w:cs="Arial"/>
          <w:szCs w:val="20"/>
        </w:rPr>
        <w:t>V</w:t>
      </w:r>
      <w:r w:rsidR="008A1C04">
        <w:rPr>
          <w:rFonts w:cs="Arial"/>
          <w:szCs w:val="20"/>
        </w:rPr>
        <w:t> </w:t>
      </w:r>
      <w:r w:rsidR="00841C3B">
        <w:rPr>
          <w:rFonts w:cs="Arial"/>
          <w:szCs w:val="20"/>
        </w:rPr>
        <w:t xml:space="preserve">______________ </w:t>
      </w:r>
      <w:r w:rsidRPr="00327184">
        <w:rPr>
          <w:rFonts w:cs="Arial"/>
          <w:szCs w:val="20"/>
        </w:rPr>
        <w:t xml:space="preserve">dne </w:t>
      </w:r>
      <w:r w:rsidR="00841C3B">
        <w:rPr>
          <w:rFonts w:cs="Arial"/>
          <w:szCs w:val="20"/>
        </w:rPr>
        <w:t>______________</w:t>
      </w:r>
      <w:r w:rsidR="008B1B86">
        <w:rPr>
          <w:rFonts w:cs="Arial"/>
          <w:szCs w:val="20"/>
        </w:rPr>
        <w:tab/>
      </w:r>
      <w:r w:rsidR="008B1B86">
        <w:rPr>
          <w:rFonts w:cs="Arial"/>
          <w:szCs w:val="20"/>
        </w:rPr>
        <w:tab/>
      </w:r>
      <w:r w:rsidR="008B1B86">
        <w:rPr>
          <w:rFonts w:cs="Arial"/>
          <w:szCs w:val="20"/>
        </w:rPr>
        <w:tab/>
      </w:r>
      <w:r w:rsidR="008B1B86">
        <w:rPr>
          <w:rFonts w:cs="Arial"/>
          <w:szCs w:val="20"/>
        </w:rPr>
        <w:tab/>
      </w:r>
      <w:r w:rsidR="008A1C04" w:rsidRPr="00327184">
        <w:rPr>
          <w:rFonts w:cs="Arial"/>
          <w:szCs w:val="20"/>
        </w:rPr>
        <w:t>V</w:t>
      </w:r>
      <w:r w:rsidR="008A1C04">
        <w:rPr>
          <w:rFonts w:cs="Arial"/>
          <w:szCs w:val="20"/>
        </w:rPr>
        <w:t> </w:t>
      </w:r>
      <w:r w:rsidR="00841C3B">
        <w:rPr>
          <w:rFonts w:cs="Arial"/>
          <w:szCs w:val="20"/>
        </w:rPr>
        <w:t>______________</w:t>
      </w:r>
      <w:r w:rsidR="008A1C04">
        <w:rPr>
          <w:rFonts w:cs="Arial"/>
          <w:szCs w:val="20"/>
        </w:rPr>
        <w:t xml:space="preserve"> </w:t>
      </w:r>
      <w:r w:rsidR="008A1C04" w:rsidRPr="00327184">
        <w:rPr>
          <w:rFonts w:cs="Arial"/>
          <w:szCs w:val="20"/>
        </w:rPr>
        <w:t xml:space="preserve">dne </w:t>
      </w:r>
      <w:r w:rsidR="00841C3B">
        <w:rPr>
          <w:rFonts w:cs="Arial"/>
          <w:szCs w:val="20"/>
        </w:rPr>
        <w:t>______________</w:t>
      </w:r>
      <w:bookmarkStart w:id="4" w:name="_GoBack"/>
      <w:bookmarkEnd w:id="4"/>
    </w:p>
    <w:bookmarkEnd w:id="3"/>
    <w:p w14:paraId="0147F6FD" w14:textId="77777777" w:rsidR="00EE66E6" w:rsidRDefault="00EE66E6" w:rsidP="00EE66E6">
      <w:pPr>
        <w:spacing w:line="288" w:lineRule="auto"/>
        <w:rPr>
          <w:rFonts w:cs="Arial"/>
          <w:szCs w:val="20"/>
        </w:rPr>
      </w:pPr>
    </w:p>
    <w:p w14:paraId="40DAFCE2" w14:textId="77777777" w:rsidR="00EE66E6" w:rsidRDefault="00EE66E6" w:rsidP="00EE66E6">
      <w:pPr>
        <w:spacing w:line="288" w:lineRule="auto"/>
        <w:rPr>
          <w:rFonts w:cs="Arial"/>
          <w:szCs w:val="20"/>
        </w:rPr>
      </w:pPr>
    </w:p>
    <w:p w14:paraId="2C24540E" w14:textId="77777777" w:rsidR="00EE66E6" w:rsidRPr="00327184" w:rsidRDefault="00EE66E6" w:rsidP="00EE66E6">
      <w:pPr>
        <w:spacing w:line="288" w:lineRule="auto"/>
        <w:rPr>
          <w:rFonts w:cs="Arial"/>
          <w:szCs w:val="20"/>
        </w:rPr>
      </w:pPr>
    </w:p>
    <w:p w14:paraId="08B955E3" w14:textId="77777777" w:rsidR="00EE66E6" w:rsidRPr="00327184" w:rsidRDefault="00EE66E6" w:rsidP="00EE66E6">
      <w:pPr>
        <w:spacing w:line="288" w:lineRule="auto"/>
        <w:rPr>
          <w:rFonts w:cs="Arial"/>
          <w:szCs w:val="20"/>
        </w:rPr>
      </w:pPr>
      <w:bookmarkStart w:id="5" w:name="_Hlk67927975"/>
      <w:r w:rsidRPr="00327184">
        <w:rPr>
          <w:rFonts w:cs="Arial"/>
          <w:szCs w:val="20"/>
        </w:rPr>
        <w:t>____________________________</w:t>
      </w:r>
      <w:r w:rsidRPr="00327184">
        <w:rPr>
          <w:rFonts w:cs="Arial"/>
          <w:szCs w:val="20"/>
        </w:rPr>
        <w:tab/>
      </w:r>
      <w:r w:rsidRPr="00327184">
        <w:rPr>
          <w:rFonts w:cs="Arial"/>
          <w:szCs w:val="20"/>
        </w:rPr>
        <w:tab/>
      </w:r>
      <w:r w:rsidRPr="00327184">
        <w:rPr>
          <w:rFonts w:cs="Arial"/>
          <w:szCs w:val="20"/>
        </w:rPr>
        <w:tab/>
      </w:r>
      <w:r w:rsidRPr="00327184">
        <w:rPr>
          <w:rFonts w:cs="Arial"/>
          <w:szCs w:val="20"/>
        </w:rPr>
        <w:tab/>
      </w:r>
      <w:r w:rsidRPr="00327184">
        <w:rPr>
          <w:rFonts w:cs="Arial"/>
          <w:szCs w:val="20"/>
        </w:rPr>
        <w:tab/>
        <w:t>___________________________</w:t>
      </w:r>
    </w:p>
    <w:p w14:paraId="49208CCD" w14:textId="08828DD8" w:rsidR="00EE66E6" w:rsidRPr="00327184" w:rsidRDefault="00841C3B" w:rsidP="00841C3B">
      <w:pPr>
        <w:tabs>
          <w:tab w:val="left" w:pos="708"/>
          <w:tab w:val="left" w:pos="1416"/>
          <w:tab w:val="left" w:pos="5010"/>
        </w:tabs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>[</w:t>
      </w:r>
      <w:r w:rsidRPr="00841C3B"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</w:t>
      </w:r>
      <w:r w:rsidR="00B769CE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szCs w:val="20"/>
        </w:rPr>
        <w:t>[</w:t>
      </w:r>
      <w:r w:rsidRPr="00841C3B"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</w:t>
      </w:r>
    </w:p>
    <w:bookmarkEnd w:id="5"/>
    <w:p w14:paraId="77F101C4" w14:textId="1A494E84" w:rsidR="00864B15" w:rsidRPr="004A7D29" w:rsidRDefault="00841C3B" w:rsidP="00841C3B">
      <w:pPr>
        <w:tabs>
          <w:tab w:val="left" w:pos="5010"/>
        </w:tabs>
      </w:pPr>
      <w:r>
        <w:rPr>
          <w:rFonts w:cs="Arial"/>
          <w:szCs w:val="20"/>
        </w:rPr>
        <w:t>[</w:t>
      </w:r>
      <w:r w:rsidRPr="00841C3B"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[</w:t>
      </w:r>
      <w:r w:rsidRPr="00841C3B"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</w:t>
      </w:r>
    </w:p>
    <w:sectPr w:rsidR="00864B15" w:rsidRPr="004A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5F1F"/>
    <w:multiLevelType w:val="multilevel"/>
    <w:tmpl w:val="4312955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4377F98"/>
    <w:multiLevelType w:val="multilevel"/>
    <w:tmpl w:val="47CEFB6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Open Sans" w:hint="default"/>
        <w:b w:val="0"/>
      </w:rPr>
    </w:lvl>
    <w:lvl w:ilvl="2">
      <w:start w:val="1"/>
      <w:numFmt w:val="bullet"/>
      <w:lvlText w:val=""/>
      <w:lvlJc w:val="left"/>
      <w:pPr>
        <w:ind w:left="1639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284B2F"/>
    <w:multiLevelType w:val="multilevel"/>
    <w:tmpl w:val="188ACB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9"/>
    <w:rsid w:val="00034DDF"/>
    <w:rsid w:val="000401E1"/>
    <w:rsid w:val="000A2388"/>
    <w:rsid w:val="000A6D94"/>
    <w:rsid w:val="000A6EBF"/>
    <w:rsid w:val="00101B02"/>
    <w:rsid w:val="001248BE"/>
    <w:rsid w:val="00231F05"/>
    <w:rsid w:val="002E5D02"/>
    <w:rsid w:val="0030723B"/>
    <w:rsid w:val="00391B97"/>
    <w:rsid w:val="003E0251"/>
    <w:rsid w:val="00425351"/>
    <w:rsid w:val="00453AF2"/>
    <w:rsid w:val="004A7D29"/>
    <w:rsid w:val="004C3EF7"/>
    <w:rsid w:val="004C514F"/>
    <w:rsid w:val="004F1008"/>
    <w:rsid w:val="0052262B"/>
    <w:rsid w:val="00523444"/>
    <w:rsid w:val="005345F9"/>
    <w:rsid w:val="00541C2A"/>
    <w:rsid w:val="00541F29"/>
    <w:rsid w:val="005F7DD4"/>
    <w:rsid w:val="00616ADC"/>
    <w:rsid w:val="00652203"/>
    <w:rsid w:val="00707D2A"/>
    <w:rsid w:val="00713AB5"/>
    <w:rsid w:val="00736A7E"/>
    <w:rsid w:val="007B4CD7"/>
    <w:rsid w:val="007C6692"/>
    <w:rsid w:val="008006FE"/>
    <w:rsid w:val="00840A12"/>
    <w:rsid w:val="00841C3B"/>
    <w:rsid w:val="00854244"/>
    <w:rsid w:val="00864B15"/>
    <w:rsid w:val="008A1C04"/>
    <w:rsid w:val="008B1B86"/>
    <w:rsid w:val="008E3CEF"/>
    <w:rsid w:val="00910777"/>
    <w:rsid w:val="00916569"/>
    <w:rsid w:val="009502D4"/>
    <w:rsid w:val="0096636E"/>
    <w:rsid w:val="00986DF9"/>
    <w:rsid w:val="009B5E91"/>
    <w:rsid w:val="009E2C08"/>
    <w:rsid w:val="00A036E7"/>
    <w:rsid w:val="00AD7398"/>
    <w:rsid w:val="00B60290"/>
    <w:rsid w:val="00B769CE"/>
    <w:rsid w:val="00BD5DE0"/>
    <w:rsid w:val="00C217F7"/>
    <w:rsid w:val="00C63F0C"/>
    <w:rsid w:val="00CC4462"/>
    <w:rsid w:val="00CC52BE"/>
    <w:rsid w:val="00D34E67"/>
    <w:rsid w:val="00D36B97"/>
    <w:rsid w:val="00D73527"/>
    <w:rsid w:val="00DA0FC3"/>
    <w:rsid w:val="00DD11F8"/>
    <w:rsid w:val="00E63D3B"/>
    <w:rsid w:val="00E73E65"/>
    <w:rsid w:val="00E84D35"/>
    <w:rsid w:val="00EB48C4"/>
    <w:rsid w:val="00EC18BF"/>
    <w:rsid w:val="00EC341A"/>
    <w:rsid w:val="00ED3956"/>
    <w:rsid w:val="00ED67A3"/>
    <w:rsid w:val="00EE66E6"/>
    <w:rsid w:val="00F15013"/>
    <w:rsid w:val="00F34352"/>
    <w:rsid w:val="00F672CC"/>
    <w:rsid w:val="00F703BD"/>
    <w:rsid w:val="00F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E423"/>
  <w15:docId w15:val="{147CBA4A-92B8-494D-952F-46A5C8FE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569"/>
    <w:pPr>
      <w:spacing w:after="0" w:line="276" w:lineRule="auto"/>
    </w:pPr>
    <w:rPr>
      <w:rFonts w:ascii="Cambria" w:eastAsia="Calibri" w:hAnsi="Cambria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45F9"/>
    <w:pPr>
      <w:numPr>
        <w:numId w:val="2"/>
      </w:numPr>
      <w:spacing w:before="480" w:line="240" w:lineRule="auto"/>
      <w:outlineLvl w:val="0"/>
    </w:pPr>
    <w:rPr>
      <w:rFonts w:ascii="Verdana" w:eastAsia="Times New Roman" w:hAnsi="Verdana"/>
      <w:b/>
      <w:bCs/>
      <w:smallCaps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345F9"/>
    <w:pPr>
      <w:numPr>
        <w:ilvl w:val="1"/>
        <w:numId w:val="2"/>
      </w:numPr>
      <w:spacing w:before="200" w:line="240" w:lineRule="auto"/>
      <w:jc w:val="both"/>
      <w:outlineLvl w:val="1"/>
    </w:pPr>
    <w:rPr>
      <w:rFonts w:ascii="Verdana" w:eastAsia="Times New Roman" w:hAnsi="Verdana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5345F9"/>
    <w:pPr>
      <w:keepNext/>
      <w:keepLines/>
      <w:numPr>
        <w:ilvl w:val="3"/>
        <w:numId w:val="2"/>
      </w:numPr>
      <w:spacing w:before="200"/>
      <w:outlineLvl w:val="3"/>
    </w:pPr>
    <w:rPr>
      <w:rFonts w:eastAsia="Times New Roman"/>
      <w:b/>
      <w:bCs/>
      <w:i/>
      <w:iCs/>
      <w:color w:val="4F81BD"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5345F9"/>
    <w:pPr>
      <w:keepNext/>
      <w:keepLines/>
      <w:numPr>
        <w:ilvl w:val="4"/>
        <w:numId w:val="2"/>
      </w:numPr>
      <w:spacing w:before="200"/>
      <w:outlineLvl w:val="4"/>
    </w:pPr>
    <w:rPr>
      <w:rFonts w:eastAsia="Times New Roman"/>
      <w:color w:val="243F60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5345F9"/>
    <w:pPr>
      <w:keepNext/>
      <w:keepLines/>
      <w:numPr>
        <w:ilvl w:val="5"/>
        <w:numId w:val="2"/>
      </w:numPr>
      <w:spacing w:before="200"/>
      <w:outlineLvl w:val="5"/>
    </w:pPr>
    <w:rPr>
      <w:rFonts w:eastAsia="Times New Roman"/>
      <w:i/>
      <w:iCs/>
      <w:color w:val="243F60"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5345F9"/>
    <w:pPr>
      <w:keepNext/>
      <w:keepLines/>
      <w:numPr>
        <w:ilvl w:val="6"/>
        <w:numId w:val="2"/>
      </w:numPr>
      <w:spacing w:before="200"/>
      <w:outlineLvl w:val="6"/>
    </w:pPr>
    <w:rPr>
      <w:rFonts w:eastAsia="Times New Roman"/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5345F9"/>
    <w:pPr>
      <w:keepNext/>
      <w:keepLines/>
      <w:numPr>
        <w:ilvl w:val="7"/>
        <w:numId w:val="2"/>
      </w:numPr>
      <w:spacing w:before="200"/>
      <w:outlineLvl w:val="7"/>
    </w:pPr>
    <w:rPr>
      <w:rFonts w:eastAsia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5345F9"/>
    <w:pPr>
      <w:keepNext/>
      <w:keepLines/>
      <w:numPr>
        <w:ilvl w:val="8"/>
        <w:numId w:val="2"/>
      </w:numPr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">
    <w:name w:val="Light Shading"/>
    <w:basedOn w:val="Normlntabulka"/>
    <w:uiPriority w:val="60"/>
    <w:rsid w:val="009165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1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1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1F8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1F8"/>
    <w:rPr>
      <w:rFonts w:ascii="Cambria" w:eastAsia="Calibri" w:hAnsi="Cambri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1F8"/>
    <w:rPr>
      <w:rFonts w:ascii="Tahoma" w:eastAsia="Calibri" w:hAnsi="Tahoma" w:cs="Tahoma"/>
      <w:sz w:val="16"/>
      <w:szCs w:val="16"/>
    </w:rPr>
  </w:style>
  <w:style w:type="paragraph" w:customStyle="1" w:styleId="CharCharCharCharCharCharCharChar">
    <w:name w:val="Char Char Char Char Char Char Char Char"/>
    <w:aliases w:val=" Char Char"/>
    <w:basedOn w:val="Normln"/>
    <w:rsid w:val="00034DDF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542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45F9"/>
    <w:rPr>
      <w:rFonts w:ascii="Verdana" w:eastAsia="Times New Roman" w:hAnsi="Verdana" w:cs="Times New Roman"/>
      <w:b/>
      <w:bCs/>
      <w:smallCaps/>
      <w:sz w:val="2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45F9"/>
    <w:rPr>
      <w:rFonts w:ascii="Verdana" w:eastAsia="Times New Roman" w:hAnsi="Verdana" w:cs="Times New Roman"/>
      <w:bCs/>
      <w:sz w:val="20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345F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5345F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5345F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5345F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5345F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345F9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1125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Dvořák</dc:creator>
  <cp:keywords/>
  <dc:description/>
  <cp:lastModifiedBy>tomas.kubicek</cp:lastModifiedBy>
  <cp:revision>9</cp:revision>
  <dcterms:created xsi:type="dcterms:W3CDTF">2021-04-16T07:31:00Z</dcterms:created>
  <dcterms:modified xsi:type="dcterms:W3CDTF">2023-03-30T09:29:00Z</dcterms:modified>
</cp:coreProperties>
</file>